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84C86">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14:paraId="7BE3BF49">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14:paraId="2AB15072">
      <w:pPr>
        <w:tabs>
          <w:tab w:val="left" w:pos="315"/>
          <w:tab w:val="left" w:pos="8820"/>
        </w:tabs>
        <w:spacing w:before="240" w:beforeLines="100" w:after="120" w:afterLines="50" w:line="700" w:lineRule="exact"/>
        <w:ind w:right="267" w:rightChars="127"/>
        <w:jc w:val="center"/>
        <w:rPr>
          <w:rFonts w:ascii="宋体" w:hAnsi="宋体" w:eastAsia="宋体"/>
          <w:b/>
          <w:bCs/>
          <w:sz w:val="44"/>
          <w:szCs w:val="44"/>
        </w:rPr>
      </w:pPr>
      <w:r>
        <w:rPr>
          <w:rFonts w:hint="eastAsia" w:ascii="宋体" w:hAnsi="宋体" w:eastAsia="宋体"/>
          <w:b/>
          <w:bCs/>
          <w:sz w:val="52"/>
          <w:szCs w:val="52"/>
        </w:rPr>
        <w:t>《皮影也科技》展览巡展滁州市科学技术馆服务项目竞争性磋商公告</w:t>
      </w:r>
    </w:p>
    <w:p w14:paraId="6AFEC6D9">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3EC78520">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4184168B">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3F9E0304">
      <w:pPr>
        <w:pStyle w:val="43"/>
        <w:ind w:firstLine="480"/>
      </w:pPr>
    </w:p>
    <w:p w14:paraId="4FC2B4AB">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0551F836">
      <w:pPr>
        <w:pStyle w:val="43"/>
        <w:ind w:firstLine="883"/>
        <w:rPr>
          <w:rFonts w:ascii="宋体" w:hAnsi="宋体" w:eastAsia="宋体"/>
          <w:b/>
          <w:bCs/>
          <w:sz w:val="44"/>
          <w:szCs w:val="44"/>
        </w:rPr>
      </w:pPr>
    </w:p>
    <w:p w14:paraId="5538C6BB">
      <w:pPr>
        <w:pStyle w:val="43"/>
        <w:ind w:firstLine="883"/>
        <w:rPr>
          <w:rFonts w:ascii="宋体" w:hAnsi="宋体" w:eastAsia="宋体"/>
          <w:b/>
          <w:bCs/>
          <w:sz w:val="44"/>
          <w:szCs w:val="44"/>
        </w:rPr>
      </w:pPr>
    </w:p>
    <w:p w14:paraId="5B0861E9">
      <w:pPr>
        <w:pStyle w:val="43"/>
        <w:ind w:firstLine="883"/>
        <w:rPr>
          <w:rFonts w:ascii="宋体" w:hAnsi="宋体" w:eastAsia="宋体"/>
          <w:b/>
          <w:bCs/>
          <w:sz w:val="44"/>
          <w:szCs w:val="44"/>
        </w:rPr>
      </w:pPr>
    </w:p>
    <w:p w14:paraId="530F747B">
      <w:pPr>
        <w:pStyle w:val="43"/>
        <w:ind w:firstLine="883"/>
        <w:rPr>
          <w:rFonts w:ascii="宋体" w:hAnsi="宋体" w:eastAsia="宋体"/>
          <w:b/>
          <w:bCs/>
          <w:sz w:val="44"/>
          <w:szCs w:val="44"/>
        </w:rPr>
      </w:pPr>
    </w:p>
    <w:p w14:paraId="51C5CF85">
      <w:pPr>
        <w:tabs>
          <w:tab w:val="left" w:pos="2410"/>
        </w:tabs>
        <w:autoSpaceDE w:val="0"/>
        <w:autoSpaceDN w:val="0"/>
        <w:adjustRightInd w:val="0"/>
        <w:snapToGrid w:val="0"/>
        <w:spacing w:line="360" w:lineRule="auto"/>
        <w:ind w:left="2444" w:leftChars="304" w:hanging="1806" w:hangingChars="500"/>
        <w:rPr>
          <w:rFonts w:ascii="宋体" w:hAnsi="宋体" w:eastAsia="宋体"/>
          <w:b/>
          <w:spacing w:val="20"/>
          <w:kern w:val="0"/>
          <w:sz w:val="32"/>
          <w:szCs w:val="32"/>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u w:val="single"/>
        </w:rPr>
        <w:t xml:space="preserve"> 《皮影也科技》展览巡展滁州市科  学技术馆服务项目</w:t>
      </w:r>
    </w:p>
    <w:p w14:paraId="142B9BA4">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rPr>
        <w:t xml:space="preserve">       滁州市科学技术馆      </w:t>
      </w:r>
    </w:p>
    <w:p w14:paraId="74795BF1">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rPr>
        <w:t>安徽凯泰工程项目管理有限公司</w:t>
      </w:r>
    </w:p>
    <w:p w14:paraId="346BAD8B">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44354697">
      <w:pPr>
        <w:tabs>
          <w:tab w:val="left" w:pos="2410"/>
        </w:tabs>
        <w:autoSpaceDE w:val="0"/>
        <w:autoSpaceDN w:val="0"/>
        <w:adjustRightInd w:val="0"/>
        <w:snapToGrid w:val="0"/>
        <w:spacing w:line="360" w:lineRule="auto"/>
        <w:jc w:val="center"/>
        <w:rPr>
          <w:rFonts w:ascii="宋体" w:hAnsi="宋体" w:eastAsia="宋体"/>
          <w:b/>
          <w:sz w:val="36"/>
        </w:rPr>
      </w:pPr>
      <w:r>
        <w:rPr>
          <w:rFonts w:hint="eastAsia" w:ascii="宋体" w:hAnsi="宋体" w:eastAsia="宋体"/>
          <w:b/>
          <w:sz w:val="36"/>
          <w:u w:val="single"/>
        </w:rPr>
        <w:t xml:space="preserve"> 2024 </w:t>
      </w:r>
      <w:r>
        <w:rPr>
          <w:rFonts w:hint="eastAsia" w:ascii="宋体" w:hAnsi="宋体" w:eastAsia="宋体"/>
          <w:b/>
          <w:sz w:val="36"/>
        </w:rPr>
        <w:t>年</w:t>
      </w:r>
      <w:r>
        <w:rPr>
          <w:rFonts w:hint="eastAsia" w:ascii="宋体" w:hAnsi="宋体" w:eastAsia="宋体"/>
          <w:b/>
          <w:sz w:val="36"/>
          <w:u w:val="single"/>
        </w:rPr>
        <w:t xml:space="preserve"> 8 </w:t>
      </w:r>
      <w:r>
        <w:rPr>
          <w:rFonts w:hint="eastAsia" w:ascii="宋体" w:hAnsi="宋体" w:eastAsia="宋体"/>
          <w:b/>
          <w:sz w:val="36"/>
        </w:rPr>
        <w:t>月</w:t>
      </w:r>
    </w:p>
    <w:p w14:paraId="4D2682B3">
      <w:pPr>
        <w:tabs>
          <w:tab w:val="left" w:pos="2410"/>
        </w:tabs>
        <w:autoSpaceDE w:val="0"/>
        <w:autoSpaceDN w:val="0"/>
        <w:adjustRightInd w:val="0"/>
        <w:snapToGrid w:val="0"/>
        <w:spacing w:line="360" w:lineRule="auto"/>
        <w:jc w:val="center"/>
        <w:rPr>
          <w:rFonts w:ascii="宋体" w:hAnsi="宋体" w:eastAsia="宋体"/>
          <w:b/>
          <w:sz w:val="36"/>
        </w:rPr>
      </w:pPr>
      <w:r>
        <w:rPr>
          <w:rFonts w:ascii="宋体" w:hAnsi="宋体" w:eastAsia="宋体"/>
          <w:b/>
          <w:sz w:val="36"/>
        </w:rPr>
        <w:br w:type="page"/>
      </w:r>
    </w:p>
    <w:p w14:paraId="334212CE">
      <w:pPr>
        <w:rPr>
          <w:rFonts w:ascii="宋体" w:hAnsi="宋体" w:eastAsia="宋体"/>
          <w:b/>
          <w:sz w:val="28"/>
        </w:rPr>
      </w:pPr>
    </w:p>
    <w:p w14:paraId="796CE2AA">
      <w:pPr>
        <w:tabs>
          <w:tab w:val="left" w:pos="2410"/>
        </w:tabs>
        <w:autoSpaceDE w:val="0"/>
        <w:autoSpaceDN w:val="0"/>
        <w:adjustRightInd w:val="0"/>
        <w:snapToGrid w:val="0"/>
        <w:spacing w:line="360" w:lineRule="auto"/>
        <w:jc w:val="center"/>
        <w:rPr>
          <w:rFonts w:ascii="宋体" w:hAnsi="宋体" w:eastAsia="宋体"/>
          <w:b/>
          <w:sz w:val="28"/>
        </w:rPr>
      </w:pPr>
    </w:p>
    <w:p w14:paraId="708801A7">
      <w:pPr>
        <w:tabs>
          <w:tab w:val="left" w:pos="2410"/>
        </w:tabs>
        <w:autoSpaceDE w:val="0"/>
        <w:autoSpaceDN w:val="0"/>
        <w:adjustRightInd w:val="0"/>
        <w:snapToGrid w:val="0"/>
        <w:spacing w:line="360" w:lineRule="auto"/>
        <w:jc w:val="center"/>
        <w:rPr>
          <w:rFonts w:ascii="宋体" w:hAnsi="宋体" w:eastAsia="宋体"/>
          <w:b/>
          <w:sz w:val="28"/>
        </w:rPr>
      </w:pPr>
      <w:r>
        <w:rPr>
          <w:rFonts w:hint="eastAsia" w:ascii="宋体" w:hAnsi="宋体" w:eastAsia="宋体"/>
          <w:b/>
          <w:sz w:val="28"/>
        </w:rPr>
        <w:t>目  录</w:t>
      </w:r>
    </w:p>
    <w:p w14:paraId="7A1514AD">
      <w:pPr>
        <w:tabs>
          <w:tab w:val="left" w:pos="2410"/>
        </w:tabs>
        <w:autoSpaceDE w:val="0"/>
        <w:autoSpaceDN w:val="0"/>
        <w:adjustRightInd w:val="0"/>
        <w:snapToGrid w:val="0"/>
        <w:spacing w:line="360" w:lineRule="auto"/>
        <w:jc w:val="center"/>
        <w:rPr>
          <w:rFonts w:ascii="宋体" w:hAnsi="宋体" w:eastAsia="宋体"/>
          <w:b/>
          <w:sz w:val="28"/>
        </w:rPr>
      </w:pPr>
    </w:p>
    <w:p w14:paraId="4317D215">
      <w:pPr>
        <w:pStyle w:val="19"/>
        <w:tabs>
          <w:tab w:val="right" w:leader="dot" w:pos="8279"/>
        </w:tabs>
      </w:pPr>
      <w:r>
        <w:rPr>
          <w:rFonts w:asciiTheme="minorEastAsia" w:hAnsiTheme="minorEastAsia"/>
          <w:b/>
          <w:bCs/>
          <w:sz w:val="24"/>
          <w:szCs w:val="24"/>
        </w:rPr>
        <w:fldChar w:fldCharType="begin"/>
      </w:r>
      <w:r>
        <w:rPr>
          <w:rFonts w:asciiTheme="minorEastAsia" w:hAnsiTheme="minorEastAsia"/>
          <w:b/>
          <w:bCs/>
          <w:sz w:val="24"/>
          <w:szCs w:val="24"/>
        </w:rPr>
        <w:instrText xml:space="preserve"> </w:instrText>
      </w:r>
      <w:r>
        <w:rPr>
          <w:rFonts w:hint="eastAsia" w:asciiTheme="minorEastAsia" w:hAnsiTheme="minorEastAsia"/>
          <w:b/>
          <w:bCs/>
          <w:sz w:val="24"/>
          <w:szCs w:val="24"/>
        </w:rPr>
        <w:instrText xml:space="preserve">TOC \o "1-2" \h \z \u</w:instrText>
      </w:r>
      <w:r>
        <w:rPr>
          <w:rFonts w:asciiTheme="minorEastAsia" w:hAnsiTheme="minorEastAsia"/>
          <w:b/>
          <w:bCs/>
          <w:sz w:val="24"/>
          <w:szCs w:val="24"/>
        </w:rPr>
        <w:instrText xml:space="preserve"> </w:instrText>
      </w:r>
      <w:r>
        <w:rPr>
          <w:rFonts w:asciiTheme="minorEastAsia" w:hAnsiTheme="minorEastAsia"/>
          <w:b/>
          <w:bCs/>
          <w:sz w:val="24"/>
          <w:szCs w:val="24"/>
        </w:rPr>
        <w:fldChar w:fldCharType="separate"/>
      </w:r>
      <w:r>
        <w:fldChar w:fldCharType="begin"/>
      </w:r>
      <w:r>
        <w:instrText xml:space="preserve"> HYPERLINK \l "_Toc19988" </w:instrText>
      </w:r>
      <w:r>
        <w:fldChar w:fldCharType="separate"/>
      </w:r>
      <w:r>
        <w:rPr>
          <w:rFonts w:hint="eastAsia" w:asciiTheme="minorEastAsia" w:hAnsiTheme="minorEastAsia"/>
        </w:rPr>
        <w:t xml:space="preserve">第一章 </w:t>
      </w:r>
      <w:r>
        <w:rPr>
          <w:rFonts w:asciiTheme="minorEastAsia" w:hAnsiTheme="minorEastAsia"/>
        </w:rPr>
        <w:t xml:space="preserve"> </w:t>
      </w:r>
      <w:r>
        <w:rPr>
          <w:rFonts w:hint="eastAsia" w:asciiTheme="minorEastAsia" w:hAnsiTheme="minorEastAsia"/>
        </w:rPr>
        <w:t>磋商邀请</w:t>
      </w:r>
      <w:r>
        <w:tab/>
      </w:r>
      <w:r>
        <w:fldChar w:fldCharType="begin"/>
      </w:r>
      <w:r>
        <w:instrText xml:space="preserve"> PAGEREF _Toc19988 \h </w:instrText>
      </w:r>
      <w:r>
        <w:fldChar w:fldCharType="separate"/>
      </w:r>
      <w:r>
        <w:t>3</w:t>
      </w:r>
      <w:r>
        <w:fldChar w:fldCharType="end"/>
      </w:r>
      <w:r>
        <w:fldChar w:fldCharType="end"/>
      </w:r>
    </w:p>
    <w:p w14:paraId="795BE6CB">
      <w:pPr>
        <w:pStyle w:val="19"/>
        <w:tabs>
          <w:tab w:val="right" w:leader="dot" w:pos="8279"/>
        </w:tabs>
      </w:pPr>
      <w:r>
        <w:fldChar w:fldCharType="begin"/>
      </w:r>
      <w:r>
        <w:instrText xml:space="preserve"> HYPERLINK \l "_Toc7162" </w:instrText>
      </w:r>
      <w:r>
        <w:fldChar w:fldCharType="separate"/>
      </w:r>
      <w:r>
        <w:rPr>
          <w:rFonts w:hint="eastAsia" w:asciiTheme="minorEastAsia" w:hAnsiTheme="minorEastAsia"/>
        </w:rPr>
        <w:t>第二章</w:t>
      </w:r>
      <w:r>
        <w:rPr>
          <w:rFonts w:asciiTheme="minorEastAsia" w:hAnsiTheme="minorEastAsia"/>
        </w:rPr>
        <w:t xml:space="preserve"> </w:t>
      </w:r>
      <w:r>
        <w:rPr>
          <w:rFonts w:hint="eastAsia" w:asciiTheme="minorEastAsia" w:hAnsiTheme="minorEastAsia"/>
        </w:rPr>
        <w:t xml:space="preserve"> 供应商</w:t>
      </w:r>
      <w:r>
        <w:rPr>
          <w:rFonts w:asciiTheme="minorEastAsia" w:hAnsiTheme="minorEastAsia"/>
        </w:rPr>
        <w:t>须知</w:t>
      </w:r>
      <w:r>
        <w:tab/>
      </w:r>
      <w:r>
        <w:fldChar w:fldCharType="begin"/>
      </w:r>
      <w:r>
        <w:instrText xml:space="preserve"> PAGEREF _Toc7162 \h </w:instrText>
      </w:r>
      <w:r>
        <w:fldChar w:fldCharType="separate"/>
      </w:r>
      <w:r>
        <w:t>6</w:t>
      </w:r>
      <w:r>
        <w:fldChar w:fldCharType="end"/>
      </w:r>
      <w:r>
        <w:fldChar w:fldCharType="end"/>
      </w:r>
    </w:p>
    <w:p w14:paraId="7F4F51EA">
      <w:pPr>
        <w:pStyle w:val="19"/>
        <w:tabs>
          <w:tab w:val="right" w:leader="dot" w:pos="8279"/>
        </w:tabs>
      </w:pPr>
      <w:r>
        <w:fldChar w:fldCharType="begin"/>
      </w:r>
      <w:r>
        <w:instrText xml:space="preserve"> HYPERLINK \l "_Toc19440" </w:instrText>
      </w:r>
      <w:r>
        <w:fldChar w:fldCharType="separate"/>
      </w:r>
      <w:r>
        <w:rPr>
          <w:rFonts w:hint="eastAsia" w:asciiTheme="minorEastAsia" w:hAnsiTheme="minorEastAsia"/>
        </w:rPr>
        <w:t>第三章  采购需求</w:t>
      </w:r>
      <w:r>
        <w:tab/>
      </w:r>
      <w:r>
        <w:fldChar w:fldCharType="begin"/>
      </w:r>
      <w:r>
        <w:instrText xml:space="preserve"> PAGEREF _Toc19440 \h </w:instrText>
      </w:r>
      <w:r>
        <w:fldChar w:fldCharType="separate"/>
      </w:r>
      <w:r>
        <w:t>21</w:t>
      </w:r>
      <w:r>
        <w:fldChar w:fldCharType="end"/>
      </w:r>
      <w:r>
        <w:fldChar w:fldCharType="end"/>
      </w:r>
    </w:p>
    <w:p w14:paraId="16E99039">
      <w:pPr>
        <w:pStyle w:val="19"/>
        <w:tabs>
          <w:tab w:val="right" w:leader="dot" w:pos="8279"/>
        </w:tabs>
      </w:pPr>
      <w:r>
        <w:fldChar w:fldCharType="begin"/>
      </w:r>
      <w:r>
        <w:instrText xml:space="preserve"> HYPERLINK \l "_Toc8668" </w:instrText>
      </w:r>
      <w:r>
        <w:fldChar w:fldCharType="separate"/>
      </w:r>
      <w:r>
        <w:rPr>
          <w:rFonts w:hint="eastAsia" w:asciiTheme="minorEastAsia" w:hAnsiTheme="minorEastAsia"/>
        </w:rPr>
        <w:t>第四章  评审方法和标准</w:t>
      </w:r>
      <w:r>
        <w:tab/>
      </w:r>
      <w:r>
        <w:fldChar w:fldCharType="begin"/>
      </w:r>
      <w:r>
        <w:instrText xml:space="preserve"> PAGEREF _Toc8668 \h </w:instrText>
      </w:r>
      <w:r>
        <w:fldChar w:fldCharType="separate"/>
      </w:r>
      <w:r>
        <w:t>25</w:t>
      </w:r>
      <w:r>
        <w:fldChar w:fldCharType="end"/>
      </w:r>
      <w:r>
        <w:fldChar w:fldCharType="end"/>
      </w:r>
    </w:p>
    <w:p w14:paraId="42989B2B">
      <w:pPr>
        <w:pStyle w:val="19"/>
        <w:tabs>
          <w:tab w:val="right" w:leader="dot" w:pos="8279"/>
        </w:tabs>
      </w:pPr>
      <w:r>
        <w:fldChar w:fldCharType="begin"/>
      </w:r>
      <w:r>
        <w:instrText xml:space="preserve"> HYPERLINK \l "_Toc17167" </w:instrText>
      </w:r>
      <w:r>
        <w:fldChar w:fldCharType="separate"/>
      </w:r>
      <w:r>
        <w:rPr>
          <w:rFonts w:hint="eastAsia" w:asciiTheme="minorEastAsia" w:hAnsiTheme="minorEastAsia"/>
        </w:rPr>
        <w:t xml:space="preserve">第五章  </w:t>
      </w:r>
      <w:r>
        <w:rPr>
          <w:rFonts w:asciiTheme="minorEastAsia" w:hAnsiTheme="minorEastAsia"/>
        </w:rPr>
        <w:t>政府采购合同</w:t>
      </w:r>
      <w:r>
        <w:tab/>
      </w:r>
      <w:r>
        <w:fldChar w:fldCharType="begin"/>
      </w:r>
      <w:r>
        <w:instrText xml:space="preserve"> PAGEREF _Toc17167 \h </w:instrText>
      </w:r>
      <w:r>
        <w:fldChar w:fldCharType="separate"/>
      </w:r>
      <w:r>
        <w:t>35</w:t>
      </w:r>
      <w:r>
        <w:fldChar w:fldCharType="end"/>
      </w:r>
      <w:r>
        <w:fldChar w:fldCharType="end"/>
      </w:r>
    </w:p>
    <w:p w14:paraId="6096A977">
      <w:pPr>
        <w:pStyle w:val="19"/>
        <w:tabs>
          <w:tab w:val="right" w:leader="dot" w:pos="8279"/>
        </w:tabs>
      </w:pPr>
      <w:r>
        <w:fldChar w:fldCharType="begin"/>
      </w:r>
      <w:r>
        <w:instrText xml:space="preserve"> HYPERLINK \l "_Toc25148" </w:instrText>
      </w:r>
      <w:r>
        <w:fldChar w:fldCharType="separate"/>
      </w:r>
      <w:r>
        <w:rPr>
          <w:rFonts w:hint="eastAsia" w:asciiTheme="minorEastAsia" w:hAnsiTheme="minorEastAsia"/>
        </w:rPr>
        <w:t>第六章  响应文件格式</w:t>
      </w:r>
      <w:r>
        <w:tab/>
      </w:r>
      <w:r>
        <w:fldChar w:fldCharType="begin"/>
      </w:r>
      <w:r>
        <w:instrText xml:space="preserve"> PAGEREF _Toc25148 \h </w:instrText>
      </w:r>
      <w:r>
        <w:fldChar w:fldCharType="separate"/>
      </w:r>
      <w:r>
        <w:t>35</w:t>
      </w:r>
      <w:r>
        <w:fldChar w:fldCharType="end"/>
      </w:r>
      <w:r>
        <w:fldChar w:fldCharType="end"/>
      </w:r>
    </w:p>
    <w:p w14:paraId="6043A5A6">
      <w:pPr>
        <w:pStyle w:val="19"/>
        <w:tabs>
          <w:tab w:val="right" w:leader="dot" w:pos="8279"/>
        </w:tabs>
      </w:pPr>
      <w:r>
        <w:fldChar w:fldCharType="begin"/>
      </w:r>
      <w:r>
        <w:instrText xml:space="preserve"> HYPERLINK \l "_Toc19418" </w:instrText>
      </w:r>
      <w:r>
        <w:fldChar w:fldCharType="separate"/>
      </w:r>
      <w:r>
        <w:rPr>
          <w:rFonts w:hint="eastAsia" w:ascii="宋体" w:hAnsi="宋体" w:eastAsia="宋体"/>
          <w:bCs/>
        </w:rPr>
        <w:t>第七章  政府采购</w:t>
      </w:r>
      <w:r>
        <w:rPr>
          <w:rFonts w:hint="eastAsia" w:asciiTheme="minorEastAsia" w:hAnsiTheme="minorEastAsia"/>
        </w:rPr>
        <w:t>供应</w:t>
      </w:r>
      <w:r>
        <w:rPr>
          <w:rFonts w:hint="eastAsia" w:ascii="宋体" w:hAnsi="宋体" w:eastAsia="宋体"/>
          <w:bCs/>
        </w:rPr>
        <w:t>商询问函和质疑函范本</w:t>
      </w:r>
      <w:r>
        <w:tab/>
      </w:r>
      <w:r>
        <w:fldChar w:fldCharType="begin"/>
      </w:r>
      <w:r>
        <w:instrText xml:space="preserve"> PAGEREF _Toc19418 \h </w:instrText>
      </w:r>
      <w:r>
        <w:fldChar w:fldCharType="separate"/>
      </w:r>
      <w:r>
        <w:t>63</w:t>
      </w:r>
      <w:r>
        <w:fldChar w:fldCharType="end"/>
      </w:r>
      <w:r>
        <w:fldChar w:fldCharType="end"/>
      </w:r>
    </w:p>
    <w:p w14:paraId="79C5208D">
      <w:pPr>
        <w:pStyle w:val="21"/>
        <w:tabs>
          <w:tab w:val="right" w:leader="dot" w:pos="8296"/>
        </w:tabs>
        <w:rPr>
          <w:rFonts w:asciiTheme="minorEastAsia" w:hAnsiTheme="minorEastAsia"/>
          <w:b/>
          <w:sz w:val="32"/>
        </w:rPr>
      </w:pPr>
      <w:r>
        <w:rPr>
          <w:rFonts w:asciiTheme="minorEastAsia" w:hAnsiTheme="minorEastAsia"/>
          <w:bCs/>
          <w:szCs w:val="24"/>
        </w:rPr>
        <w:fldChar w:fldCharType="end"/>
      </w:r>
    </w:p>
    <w:p w14:paraId="48389229">
      <w:pPr>
        <w:spacing w:line="360" w:lineRule="auto"/>
        <w:jc w:val="center"/>
        <w:outlineLvl w:val="1"/>
        <w:rPr>
          <w:rFonts w:asciiTheme="minorEastAsia" w:hAnsiTheme="minorEastAsia" w:eastAsiaTheme="minorEastAsia"/>
          <w:b/>
          <w:sz w:val="28"/>
        </w:rPr>
        <w:sectPr>
          <w:headerReference r:id="rId3" w:type="default"/>
          <w:footerReference r:id="rId4" w:type="default"/>
          <w:pgSz w:w="11907" w:h="16840"/>
          <w:pgMar w:top="1474" w:right="1814" w:bottom="1474" w:left="1814" w:header="851" w:footer="992" w:gutter="0"/>
          <w:cols w:space="720" w:num="1"/>
          <w:docGrid w:linePitch="462" w:charSpace="0"/>
        </w:sectPr>
      </w:pPr>
    </w:p>
    <w:p w14:paraId="3DCE6B72">
      <w:pPr>
        <w:pStyle w:val="5"/>
        <w:tabs>
          <w:tab w:val="left" w:pos="0"/>
        </w:tabs>
        <w:autoSpaceDE w:val="0"/>
        <w:autoSpaceDN w:val="0"/>
        <w:adjustRightInd w:val="0"/>
        <w:spacing w:before="0" w:after="0" w:line="240" w:lineRule="auto"/>
        <w:jc w:val="center"/>
        <w:rPr>
          <w:rFonts w:ascii="黑体" w:hAnsi="黑体" w:cs="宋体" w:eastAsiaTheme="minorEastAsia"/>
          <w:b w:val="0"/>
          <w:color w:val="000000"/>
          <w:sz w:val="28"/>
          <w:szCs w:val="28"/>
        </w:rPr>
      </w:pPr>
      <w:bookmarkStart w:id="0" w:name="_Toc501"/>
      <w:bookmarkStart w:id="1" w:name="_Toc19988"/>
      <w:r>
        <w:rPr>
          <w:rFonts w:hint="eastAsia" w:asciiTheme="minorEastAsia" w:hAnsiTheme="minorEastAsia" w:eastAsiaTheme="minorEastAsia"/>
          <w:sz w:val="28"/>
        </w:rPr>
        <w:t xml:space="preserve">第一章 </w:t>
      </w:r>
      <w:r>
        <w:rPr>
          <w:rFonts w:asciiTheme="minorEastAsia" w:hAnsiTheme="minorEastAsia" w:eastAsiaTheme="minorEastAsia"/>
          <w:sz w:val="28"/>
        </w:rPr>
        <w:t xml:space="preserve"> </w:t>
      </w:r>
      <w:bookmarkEnd w:id="0"/>
      <w:bookmarkEnd w:id="1"/>
      <w:bookmarkStart w:id="2" w:name="_Toc35393797"/>
      <w:bookmarkStart w:id="3" w:name="_Toc28359011"/>
      <w:bookmarkStart w:id="4" w:name="_Toc35393636"/>
      <w:bookmarkStart w:id="5" w:name="_Toc28359018"/>
      <w:bookmarkStart w:id="6" w:name="_Toc28359095"/>
      <w:bookmarkStart w:id="7" w:name="_Toc28099"/>
      <w:bookmarkStart w:id="8" w:name="_Toc35393805"/>
      <w:r>
        <w:rPr>
          <w:rFonts w:hint="eastAsia" w:asciiTheme="minorEastAsia" w:hAnsiTheme="minorEastAsia" w:eastAsiaTheme="minorEastAsia"/>
          <w:sz w:val="28"/>
        </w:rPr>
        <w:t>磋商</w:t>
      </w:r>
      <w:bookmarkEnd w:id="2"/>
      <w:bookmarkEnd w:id="3"/>
      <w:bookmarkStart w:id="9" w:name="_Toc28359089"/>
      <w:bookmarkStart w:id="10" w:name="_Toc28359012"/>
      <w:bookmarkStart w:id="11" w:name="_Toc35393629"/>
      <w:bookmarkStart w:id="12" w:name="_Toc35393798"/>
      <w:r>
        <w:rPr>
          <w:rFonts w:hint="eastAsia" w:asciiTheme="minorEastAsia" w:hAnsiTheme="minorEastAsia" w:eastAsiaTheme="minorEastAsia"/>
          <w:sz w:val="28"/>
        </w:rPr>
        <w:t>邀请公告</w:t>
      </w:r>
    </w:p>
    <w:p w14:paraId="0469AF4F">
      <w:pPr>
        <w:keepNext/>
        <w:keepLines/>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项目概况</w:t>
      </w:r>
    </w:p>
    <w:p w14:paraId="5638A238">
      <w:pPr>
        <w:keepNext/>
        <w:keepLines/>
        <w:wordWrap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u w:val="single"/>
        </w:rPr>
        <w:t>《皮影也科技》展览巡展滁州市科学技术馆服务项目</w:t>
      </w:r>
      <w:r>
        <w:rPr>
          <w:rFonts w:hint="eastAsia" w:ascii="宋体" w:hAnsi="宋体" w:eastAsia="宋体" w:cs="宋体"/>
          <w:color w:val="auto"/>
          <w:sz w:val="24"/>
          <w:szCs w:val="24"/>
        </w:rPr>
        <w:t>的潜在供应商应在</w:t>
      </w:r>
      <w:r>
        <w:rPr>
          <w:rFonts w:hint="eastAsia" w:ascii="宋体" w:hAnsi="宋体" w:eastAsia="宋体" w:cs="宋体"/>
          <w:color w:val="auto"/>
          <w:sz w:val="24"/>
          <w:szCs w:val="24"/>
          <w:u w:val="single"/>
        </w:rPr>
        <w:t>滁州市科学技术馆网站（</w:t>
      </w:r>
      <w:r>
        <w:rPr>
          <w:color w:val="auto"/>
        </w:rPr>
        <w:fldChar w:fldCharType="begin"/>
      </w:r>
      <w:r>
        <w:rPr>
          <w:color w:val="auto"/>
        </w:rPr>
        <w:instrText xml:space="preserve"> HYPERLINK "http://www.czstm.org.cn/default.aspx" </w:instrText>
      </w:r>
      <w:r>
        <w:rPr>
          <w:color w:val="auto"/>
        </w:rPr>
        <w:fldChar w:fldCharType="separate"/>
      </w:r>
      <w:r>
        <w:rPr>
          <w:rStyle w:val="37"/>
          <w:rFonts w:hint="eastAsia" w:ascii="宋体" w:hAnsi="宋体" w:eastAsia="宋体" w:cs="宋体"/>
          <w:color w:val="auto"/>
          <w:sz w:val="24"/>
          <w:szCs w:val="24"/>
        </w:rPr>
        <w:t>http://www.czstm.org.cn/default.aspx</w:t>
      </w:r>
      <w:r>
        <w:rPr>
          <w:rStyle w:val="37"/>
          <w:rFonts w:hint="eastAsia" w:ascii="宋体" w:hAnsi="宋体" w:eastAsia="宋体" w:cs="宋体"/>
          <w:color w:val="auto"/>
          <w:sz w:val="24"/>
          <w:szCs w:val="24"/>
        </w:rPr>
        <w:fldChar w:fldCharType="end"/>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获取采购文件，并于</w:t>
      </w:r>
      <w:r>
        <w:rPr>
          <w:rFonts w:hint="eastAsia" w:ascii="宋体" w:hAnsi="宋体" w:eastAsia="宋体" w:cs="宋体"/>
          <w:color w:val="auto"/>
          <w:sz w:val="24"/>
          <w:szCs w:val="24"/>
          <w:u w:val="single"/>
        </w:rPr>
        <w:t>2024年8月</w:t>
      </w:r>
      <w:r>
        <w:rPr>
          <w:rFonts w:ascii="宋体" w:hAnsi="宋体" w:eastAsia="宋体" w:cs="宋体"/>
          <w:color w:val="auto"/>
          <w:sz w:val="24"/>
          <w:szCs w:val="24"/>
          <w:u w:val="single"/>
        </w:rPr>
        <w:t>1</w:t>
      </w: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u w:val="single"/>
        </w:rPr>
        <w:t>日0</w:t>
      </w:r>
      <w:r>
        <w:rPr>
          <w:rFonts w:hint="eastAsia" w:ascii="宋体" w:hAnsi="宋体" w:eastAsia="宋体" w:cs="宋体"/>
          <w:color w:val="auto"/>
          <w:sz w:val="24"/>
          <w:szCs w:val="24"/>
          <w:u w:val="single"/>
          <w:lang w:val="en-US" w:eastAsia="zh-CN"/>
        </w:rPr>
        <w:t>9</w:t>
      </w:r>
      <w:r>
        <w:rPr>
          <w:rFonts w:hint="eastAsia" w:ascii="宋体" w:hAnsi="宋体" w:eastAsia="宋体" w:cs="宋体"/>
          <w:color w:val="auto"/>
          <w:sz w:val="24"/>
          <w:szCs w:val="24"/>
          <w:u w:val="single"/>
        </w:rPr>
        <w:t>点00分</w:t>
      </w:r>
      <w:r>
        <w:rPr>
          <w:rFonts w:hint="eastAsia" w:ascii="宋体" w:hAnsi="宋体" w:eastAsia="宋体" w:cs="宋体"/>
          <w:color w:val="auto"/>
          <w:sz w:val="24"/>
          <w:szCs w:val="24"/>
        </w:rPr>
        <w:t>（北京时间）前递交响应文件。</w:t>
      </w:r>
    </w:p>
    <w:p w14:paraId="5DAAA8A3">
      <w:pPr>
        <w:keepNext/>
        <w:keepLines/>
        <w:spacing w:before="260" w:after="260"/>
        <w:rPr>
          <w:rFonts w:ascii="宋体" w:hAnsi="宋体" w:eastAsia="宋体" w:cs="宋体"/>
          <w:b/>
          <w:bCs/>
          <w:color w:val="auto"/>
          <w:sz w:val="24"/>
          <w:szCs w:val="24"/>
        </w:rPr>
      </w:pPr>
      <w:r>
        <w:rPr>
          <w:rFonts w:hint="eastAsia" w:ascii="宋体" w:hAnsi="宋体" w:eastAsia="宋体" w:cs="宋体"/>
          <w:b/>
          <w:bCs/>
          <w:color w:val="auto"/>
          <w:sz w:val="24"/>
          <w:szCs w:val="24"/>
        </w:rPr>
        <w:t>一、项目基本情况</w:t>
      </w:r>
      <w:bookmarkEnd w:id="9"/>
      <w:bookmarkEnd w:id="10"/>
      <w:bookmarkEnd w:id="11"/>
      <w:bookmarkEnd w:id="12"/>
    </w:p>
    <w:p w14:paraId="3EBD3D38">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项目名称：《皮影也科技》展览巡展滁州市科学技术馆服务项目</w:t>
      </w:r>
    </w:p>
    <w:p w14:paraId="62C81230">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采购方式：竞争性磋商</w:t>
      </w:r>
    </w:p>
    <w:p w14:paraId="50B1EE4B">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预算金额：</w:t>
      </w:r>
      <w:r>
        <w:rPr>
          <w:rFonts w:ascii="宋体" w:hAnsi="宋体" w:eastAsia="宋体" w:cs="宋体"/>
          <w:sz w:val="24"/>
          <w:szCs w:val="24"/>
        </w:rPr>
        <w:t>100000.00</w:t>
      </w:r>
      <w:r>
        <w:rPr>
          <w:rFonts w:hint="eastAsia" w:ascii="宋体" w:hAnsi="宋体" w:eastAsia="宋体" w:cs="宋体"/>
          <w:sz w:val="24"/>
          <w:szCs w:val="24"/>
        </w:rPr>
        <w:t>元</w:t>
      </w:r>
    </w:p>
    <w:p w14:paraId="4EF1D7D2">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最高限价：</w:t>
      </w:r>
      <w:r>
        <w:rPr>
          <w:rFonts w:ascii="宋体" w:hAnsi="宋体" w:eastAsia="宋体" w:cs="宋体"/>
          <w:sz w:val="24"/>
          <w:szCs w:val="24"/>
        </w:rPr>
        <w:t>100000.00</w:t>
      </w:r>
      <w:r>
        <w:rPr>
          <w:rFonts w:hint="eastAsia" w:ascii="宋体" w:hAnsi="宋体" w:eastAsia="宋体" w:cs="宋体"/>
          <w:sz w:val="24"/>
          <w:szCs w:val="24"/>
        </w:rPr>
        <w:t>元，响应报价不得高于最高限价，否则按无效响应处理。</w:t>
      </w:r>
    </w:p>
    <w:p w14:paraId="630D9FB8">
      <w:pPr>
        <w:wordWrap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rPr>
        <w:t>采购需求：项目主要实施内容为《皮影也科技》展览的运输、安装调试、遮光、维保和拆除等，详见采购需求</w:t>
      </w:r>
      <w:r>
        <w:rPr>
          <w:rFonts w:hint="eastAsia" w:ascii="宋体" w:hAnsi="宋体" w:eastAsia="宋体" w:cs="宋体"/>
          <w:sz w:val="24"/>
          <w:szCs w:val="24"/>
          <w:highlight w:val="none"/>
        </w:rPr>
        <w:t>。</w:t>
      </w:r>
    </w:p>
    <w:p w14:paraId="3DDC6C90">
      <w:pPr>
        <w:wordWrap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合同履行期限：不高于10个日历天。</w:t>
      </w:r>
    </w:p>
    <w:p w14:paraId="1397C5A6">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本项目不接受联合体。</w:t>
      </w:r>
    </w:p>
    <w:p w14:paraId="0C69A8D5">
      <w:pPr>
        <w:keepNext/>
        <w:keepLines/>
        <w:spacing w:before="260" w:after="260"/>
        <w:rPr>
          <w:rFonts w:ascii="宋体" w:hAnsi="宋体" w:eastAsia="宋体" w:cs="宋体"/>
          <w:b/>
          <w:bCs/>
          <w:color w:val="000000"/>
          <w:sz w:val="24"/>
          <w:szCs w:val="24"/>
        </w:rPr>
      </w:pPr>
      <w:bookmarkStart w:id="13" w:name="_Toc28359013"/>
      <w:bookmarkStart w:id="14" w:name="_Toc28359090"/>
      <w:bookmarkStart w:id="15" w:name="_Toc35393630"/>
      <w:bookmarkStart w:id="16" w:name="_Toc35393799"/>
      <w:r>
        <w:rPr>
          <w:rFonts w:hint="eastAsia" w:ascii="宋体" w:hAnsi="宋体" w:eastAsia="宋体" w:cs="宋体"/>
          <w:b/>
          <w:bCs/>
          <w:color w:val="000000"/>
          <w:sz w:val="24"/>
          <w:szCs w:val="24"/>
        </w:rPr>
        <w:t>二、申请人的</w:t>
      </w:r>
      <w:bookmarkStart w:id="277" w:name="_GoBack"/>
      <w:bookmarkEnd w:id="277"/>
      <w:r>
        <w:rPr>
          <w:rFonts w:hint="eastAsia" w:ascii="宋体" w:hAnsi="宋体" w:eastAsia="宋体" w:cs="宋体"/>
          <w:b/>
          <w:bCs/>
          <w:color w:val="000000"/>
          <w:sz w:val="24"/>
          <w:szCs w:val="24"/>
        </w:rPr>
        <w:t>资格要求：</w:t>
      </w:r>
      <w:bookmarkEnd w:id="13"/>
      <w:bookmarkEnd w:id="14"/>
      <w:bookmarkEnd w:id="15"/>
      <w:bookmarkEnd w:id="16"/>
    </w:p>
    <w:p w14:paraId="28286F1E">
      <w:pPr>
        <w:wordWrap w:val="0"/>
        <w:spacing w:line="360" w:lineRule="auto"/>
        <w:ind w:firstLine="480" w:firstLineChars="200"/>
        <w:rPr>
          <w:rFonts w:ascii="宋体" w:hAnsi="宋体" w:eastAsia="宋体" w:cs="宋体"/>
          <w:sz w:val="24"/>
          <w:szCs w:val="24"/>
        </w:rPr>
      </w:pPr>
      <w:bookmarkStart w:id="17" w:name="_Toc35393631"/>
      <w:bookmarkStart w:id="18" w:name="_Toc35393800"/>
      <w:bookmarkStart w:id="19" w:name="_Toc28359091"/>
      <w:bookmarkStart w:id="20" w:name="_Toc28359014"/>
      <w:r>
        <w:rPr>
          <w:rFonts w:hint="eastAsia" w:ascii="宋体" w:hAnsi="宋体" w:eastAsia="宋体" w:cs="宋体"/>
          <w:sz w:val="24"/>
          <w:szCs w:val="24"/>
        </w:rPr>
        <w:t>1.满足《中华人民共和国政府采购法》第二十二条规定；</w:t>
      </w:r>
    </w:p>
    <w:p w14:paraId="57B666F9">
      <w:pPr>
        <w:wordWrap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2.落实政府采购政策需满足的资格要求：</w:t>
      </w:r>
      <w:r>
        <w:rPr>
          <w:rFonts w:hint="eastAsia" w:ascii="宋体" w:hAnsi="宋体" w:eastAsia="宋体" w:cs="宋体"/>
          <w:sz w:val="24"/>
          <w:szCs w:val="24"/>
          <w:u w:val="single"/>
        </w:rPr>
        <w:t>按照财政部、工业和信息化部制定的《政府采购促进中小企业发展管理办法》，本项目为专门面向中小企业采购项目。企业划型标准按照《关于印发中小企业划型标准规定的通知》（工信部联企业〔2011〕300号）规定执行；</w:t>
      </w:r>
    </w:p>
    <w:p w14:paraId="20E980FD">
      <w:pPr>
        <w:wordWrap w:val="0"/>
        <w:spacing w:line="360" w:lineRule="auto"/>
        <w:ind w:firstLine="480" w:firstLineChars="200"/>
        <w:rPr>
          <w:rFonts w:ascii="宋体" w:hAnsi="宋体" w:eastAsia="宋体" w:cs="宋体"/>
          <w:i/>
          <w:iCs/>
          <w:sz w:val="24"/>
          <w:szCs w:val="24"/>
          <w:u w:val="single"/>
        </w:rPr>
      </w:pPr>
      <w:r>
        <w:rPr>
          <w:rFonts w:hint="eastAsia" w:ascii="宋体" w:hAnsi="宋体" w:eastAsia="宋体" w:cs="宋体"/>
          <w:sz w:val="24"/>
          <w:szCs w:val="24"/>
        </w:rPr>
        <w:t>3.本项目的特定资格要求：</w:t>
      </w:r>
      <w:r>
        <w:rPr>
          <w:rFonts w:hint="eastAsia" w:ascii="宋体" w:hAnsi="宋体" w:eastAsia="宋体" w:cs="宋体"/>
          <w:sz w:val="24"/>
          <w:szCs w:val="24"/>
          <w:u w:val="single"/>
        </w:rPr>
        <w:t>无</w:t>
      </w:r>
      <w:r>
        <w:rPr>
          <w:rFonts w:hint="eastAsia" w:ascii="宋体" w:hAnsi="宋体" w:eastAsia="宋体" w:cs="宋体"/>
          <w:sz w:val="24"/>
          <w:szCs w:val="24"/>
        </w:rPr>
        <w:t>；</w:t>
      </w:r>
    </w:p>
    <w:p w14:paraId="29373712">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shd w:val="clear" w:color="auto" w:fill="FFFFFF"/>
        </w:rPr>
        <w:t>信誉要求：供应商不得存在以下情形</w:t>
      </w:r>
      <w:r>
        <w:rPr>
          <w:rFonts w:hint="eastAsia" w:ascii="宋体" w:hAnsi="宋体" w:eastAsia="宋体" w:cs="宋体"/>
          <w:sz w:val="24"/>
          <w:szCs w:val="24"/>
        </w:rPr>
        <w:t>：</w:t>
      </w:r>
    </w:p>
    <w:p w14:paraId="442C7E20">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shd w:val="clear" w:color="auto" w:fill="FFFFFF"/>
        </w:rPr>
        <w:t>①</w:t>
      </w:r>
      <w:r>
        <w:rPr>
          <w:rFonts w:hint="eastAsia" w:ascii="宋体" w:hAnsi="宋体" w:eastAsia="宋体" w:cs="宋体"/>
          <w:sz w:val="24"/>
          <w:szCs w:val="24"/>
        </w:rPr>
        <w:t>供应商被人民法院列入失信被执行人的；</w:t>
      </w:r>
    </w:p>
    <w:p w14:paraId="319AD767">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shd w:val="clear" w:color="auto" w:fill="FFFFFF"/>
        </w:rPr>
        <w:t>②</w:t>
      </w:r>
      <w:r>
        <w:rPr>
          <w:rFonts w:hint="eastAsia" w:ascii="宋体" w:hAnsi="宋体" w:eastAsia="宋体" w:cs="宋体"/>
          <w:sz w:val="24"/>
          <w:szCs w:val="24"/>
        </w:rPr>
        <w:t>供应商或其法定代表人或拟派项目经理（项目负责人）前三年有行贿犯罪行为的；</w:t>
      </w:r>
    </w:p>
    <w:p w14:paraId="0F977A73">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shd w:val="clear" w:color="auto" w:fill="FFFFFF"/>
        </w:rPr>
        <w:t>③</w:t>
      </w:r>
      <w:r>
        <w:rPr>
          <w:rFonts w:hint="eastAsia" w:ascii="宋体" w:hAnsi="宋体" w:eastAsia="宋体" w:cs="宋体"/>
          <w:sz w:val="24"/>
          <w:szCs w:val="24"/>
        </w:rPr>
        <w:t>供应商被市场监督管理部门列入经营异常名录或者严重违法企业名单，且未被移除的；</w:t>
      </w:r>
    </w:p>
    <w:p w14:paraId="30ED064C">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shd w:val="clear" w:color="auto" w:fill="FFFFFF"/>
        </w:rPr>
        <w:t>④</w:t>
      </w:r>
      <w:r>
        <w:rPr>
          <w:rFonts w:hint="eastAsia" w:ascii="宋体" w:hAnsi="宋体" w:eastAsia="宋体" w:cs="宋体"/>
          <w:sz w:val="24"/>
          <w:szCs w:val="24"/>
        </w:rPr>
        <w:t>供应商</w:t>
      </w:r>
      <w:r>
        <w:rPr>
          <w:rFonts w:hint="eastAsia" w:ascii="宋体" w:hAnsi="宋体" w:eastAsia="宋体" w:cs="宋体"/>
          <w:sz w:val="24"/>
          <w:szCs w:val="24"/>
          <w:shd w:val="clear" w:color="auto" w:fill="FFFFFF"/>
        </w:rPr>
        <w:t>被税务部门列入重大税收违法案件当事人的</w:t>
      </w:r>
      <w:r>
        <w:rPr>
          <w:rFonts w:hint="eastAsia" w:ascii="宋体" w:hAnsi="宋体" w:eastAsia="宋体" w:cs="宋体"/>
          <w:sz w:val="24"/>
          <w:szCs w:val="24"/>
        </w:rPr>
        <w:t>；</w:t>
      </w:r>
    </w:p>
    <w:p w14:paraId="06AE3FDC">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shd w:val="clear" w:color="auto" w:fill="FFFFFF"/>
        </w:rPr>
        <w:t>⑤</w:t>
      </w:r>
      <w:r>
        <w:rPr>
          <w:rFonts w:hint="eastAsia" w:ascii="宋体" w:hAnsi="宋体" w:eastAsia="宋体" w:cs="宋体"/>
          <w:sz w:val="24"/>
          <w:szCs w:val="24"/>
        </w:rPr>
        <w:t>供应商被政府采购监管部门列入政府采购严重违法失信行为记录名单的；</w:t>
      </w:r>
    </w:p>
    <w:p w14:paraId="37090D3A">
      <w:pPr>
        <w:pStyle w:val="22"/>
        <w:shd w:val="clear" w:color="auto" w:fill="FFFFFF"/>
        <w:wordWrap w:val="0"/>
        <w:spacing w:before="0" w:beforeAutospacing="0" w:after="0" w:afterAutospacing="0" w:line="360" w:lineRule="auto"/>
        <w:ind w:firstLine="480" w:firstLineChars="200"/>
        <w:rPr>
          <w:rFonts w:ascii="宋体" w:hAnsi="宋体" w:eastAsia="宋体" w:cs="宋体"/>
          <w:szCs w:val="24"/>
        </w:rPr>
      </w:pPr>
      <w:r>
        <w:rPr>
          <w:rFonts w:hint="eastAsia" w:ascii="宋体" w:hAnsi="宋体" w:eastAsia="宋体" w:cs="宋体"/>
          <w:szCs w:val="24"/>
          <w:shd w:val="clear" w:color="auto" w:fill="FFFFFF"/>
        </w:rPr>
        <w:t>⑥在“信用中国”网站上披露仍在公示期的严重失信行为的。</w:t>
      </w:r>
    </w:p>
    <w:p w14:paraId="7BECFB35">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shd w:val="clear" w:color="auto" w:fill="FFFFFF"/>
        </w:rPr>
        <w:t>5</w:t>
      </w:r>
      <w:r>
        <w:rPr>
          <w:rFonts w:hint="eastAsia" w:ascii="宋体" w:hAnsi="宋体" w:eastAsia="宋体" w:cs="宋体"/>
          <w:sz w:val="24"/>
          <w:szCs w:val="24"/>
        </w:rPr>
        <w:t>.</w:t>
      </w:r>
      <w:r>
        <w:rPr>
          <w:rFonts w:hint="eastAsia" w:ascii="宋体" w:hAnsi="宋体" w:eastAsia="宋体" w:cs="宋体"/>
          <w:sz w:val="24"/>
          <w:szCs w:val="24"/>
          <w:shd w:val="clear" w:color="auto" w:fill="FFFFFF"/>
        </w:rPr>
        <w:t>供应商所属分公司、办事处等分支机构存在第4条信誉要求①-⑥项情形之一的，</w:t>
      </w:r>
      <w:r>
        <w:rPr>
          <w:rFonts w:hint="eastAsia" w:ascii="宋体" w:hAnsi="宋体" w:eastAsia="宋体" w:cs="宋体"/>
          <w:sz w:val="24"/>
          <w:szCs w:val="24"/>
        </w:rPr>
        <w:t>接受其被确定为成交供应商。</w:t>
      </w:r>
    </w:p>
    <w:p w14:paraId="7CB1EBEB">
      <w:pPr>
        <w:pStyle w:val="22"/>
        <w:shd w:val="clear" w:color="auto" w:fill="FFFFFF"/>
        <w:spacing w:before="0" w:beforeAutospacing="0" w:after="0" w:afterAutospacing="0" w:line="360" w:lineRule="auto"/>
        <w:ind w:firstLine="480" w:firstLineChars="200"/>
        <w:rPr>
          <w:rFonts w:ascii="宋体" w:hAnsi="宋体" w:eastAsia="宋体" w:cs="宋体"/>
          <w:i/>
          <w:iCs/>
          <w:color w:val="000000"/>
          <w:szCs w:val="24"/>
          <w:u w:val="single"/>
        </w:rPr>
      </w:pPr>
      <w:r>
        <w:rPr>
          <w:rFonts w:hint="eastAsia" w:ascii="宋体" w:hAnsi="宋体" w:eastAsia="宋体" w:cs="宋体"/>
          <w:kern w:val="2"/>
          <w:szCs w:val="24"/>
        </w:rPr>
        <w:t>备注：第4、5条按照“关于联合惩戒失信行为加强信用查询管理的通知”查询或承诺</w:t>
      </w:r>
      <w:r>
        <w:rPr>
          <w:rFonts w:hint="eastAsia" w:ascii="宋体" w:hAnsi="宋体" w:eastAsia="宋体" w:cs="宋体"/>
          <w:color w:val="000000"/>
          <w:szCs w:val="24"/>
          <w:shd w:val="clear" w:color="auto" w:fill="FFFFFF"/>
        </w:rPr>
        <w:t>。</w:t>
      </w:r>
    </w:p>
    <w:p w14:paraId="2D01C54B">
      <w:pPr>
        <w:keepNext/>
        <w:keepLines/>
        <w:spacing w:before="260" w:after="260"/>
        <w:rPr>
          <w:rFonts w:ascii="宋体" w:hAnsi="宋体" w:eastAsia="宋体" w:cs="宋体"/>
          <w:b/>
          <w:bCs/>
          <w:color w:val="000000"/>
          <w:sz w:val="24"/>
          <w:szCs w:val="24"/>
        </w:rPr>
      </w:pPr>
      <w:r>
        <w:rPr>
          <w:rFonts w:hint="eastAsia" w:ascii="宋体" w:hAnsi="宋体" w:eastAsia="宋体" w:cs="宋体"/>
          <w:b/>
          <w:bCs/>
          <w:color w:val="000000"/>
          <w:sz w:val="24"/>
          <w:szCs w:val="24"/>
        </w:rPr>
        <w:t>三、获取采购文件</w:t>
      </w:r>
      <w:bookmarkEnd w:id="17"/>
      <w:bookmarkEnd w:id="18"/>
      <w:bookmarkEnd w:id="19"/>
      <w:bookmarkEnd w:id="20"/>
    </w:p>
    <w:p w14:paraId="35C41996">
      <w:pPr>
        <w:wordWrap w:val="0"/>
        <w:spacing w:line="360" w:lineRule="auto"/>
        <w:ind w:firstLine="480" w:firstLineChars="200"/>
        <w:rPr>
          <w:rFonts w:ascii="宋体" w:hAnsi="宋体" w:eastAsia="宋体" w:cs="宋体"/>
          <w:iCs/>
          <w:color w:val="auto"/>
          <w:sz w:val="24"/>
          <w:szCs w:val="24"/>
          <w:u w:val="single"/>
        </w:rPr>
      </w:pPr>
      <w:r>
        <w:rPr>
          <w:rFonts w:hint="eastAsia" w:ascii="宋体" w:hAnsi="宋体" w:eastAsia="宋体" w:cs="宋体"/>
          <w:sz w:val="24"/>
          <w:szCs w:val="24"/>
        </w:rPr>
        <w:t>时</w:t>
      </w:r>
      <w:r>
        <w:rPr>
          <w:rFonts w:hint="eastAsia" w:ascii="宋体" w:hAnsi="宋体" w:eastAsia="宋体" w:cs="宋体"/>
          <w:color w:val="auto"/>
          <w:sz w:val="24"/>
          <w:szCs w:val="24"/>
        </w:rPr>
        <w:t>间：</w:t>
      </w:r>
      <w:r>
        <w:rPr>
          <w:rFonts w:hint="eastAsia" w:ascii="宋体" w:hAnsi="宋体" w:eastAsia="宋体" w:cs="宋体"/>
          <w:color w:val="auto"/>
          <w:sz w:val="24"/>
          <w:szCs w:val="24"/>
          <w:u w:val="single"/>
        </w:rPr>
        <w:t>2024年</w:t>
      </w:r>
      <w:r>
        <w:rPr>
          <w:rFonts w:ascii="宋体" w:hAnsi="宋体" w:eastAsia="宋体" w:cs="宋体"/>
          <w:color w:val="auto"/>
          <w:sz w:val="24"/>
          <w:szCs w:val="24"/>
          <w:u w:val="single"/>
        </w:rPr>
        <w:t>8</w:t>
      </w:r>
      <w:r>
        <w:rPr>
          <w:rFonts w:hint="eastAsia" w:ascii="宋体" w:hAnsi="宋体" w:eastAsia="宋体" w:cs="宋体"/>
          <w:color w:val="auto"/>
          <w:sz w:val="24"/>
          <w:szCs w:val="24"/>
          <w:u w:val="single"/>
        </w:rPr>
        <w:t>月0</w:t>
      </w: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2024年8月1</w:t>
      </w: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u w:val="single"/>
        </w:rPr>
        <w:t>日</w:t>
      </w:r>
    </w:p>
    <w:p w14:paraId="0968DCCC">
      <w:pPr>
        <w:wordWrap w:val="0"/>
        <w:spacing w:line="360" w:lineRule="auto"/>
        <w:ind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rPr>
        <w:t>地点：滁州市科学技术馆（</w:t>
      </w:r>
      <w:r>
        <w:rPr>
          <w:rFonts w:hint="eastAsia" w:ascii="宋体" w:hAnsi="宋体" w:eastAsia="宋体" w:cs="宋体"/>
          <w:color w:val="auto"/>
          <w:sz w:val="22"/>
          <w:szCs w:val="22"/>
        </w:rPr>
        <w:t>http://www.czstm.org.cn/default.aspx）</w:t>
      </w:r>
    </w:p>
    <w:p w14:paraId="594CD1EE">
      <w:pPr>
        <w:wordWrap w:val="0"/>
        <w:spacing w:line="360" w:lineRule="auto"/>
        <w:ind w:firstLine="480" w:firstLineChars="200"/>
        <w:rPr>
          <w:rFonts w:ascii="宋体" w:hAnsi="宋体" w:eastAsia="宋体" w:cs="宋体"/>
          <w:sz w:val="24"/>
          <w:szCs w:val="24"/>
          <w:u w:val="single"/>
        </w:rPr>
      </w:pPr>
      <w:r>
        <w:rPr>
          <w:rFonts w:hint="eastAsia" w:ascii="宋体" w:hAnsi="宋体" w:eastAsia="宋体" w:cs="宋体"/>
          <w:color w:val="auto"/>
          <w:sz w:val="24"/>
          <w:szCs w:val="24"/>
        </w:rPr>
        <w:t>方式：网上下</w:t>
      </w:r>
      <w:r>
        <w:rPr>
          <w:rFonts w:hint="eastAsia" w:ascii="宋体" w:hAnsi="宋体" w:eastAsia="宋体" w:cs="宋体"/>
          <w:sz w:val="24"/>
          <w:szCs w:val="24"/>
        </w:rPr>
        <w:t>载</w:t>
      </w:r>
    </w:p>
    <w:p w14:paraId="57177B49">
      <w:pPr>
        <w:spacing w:line="360" w:lineRule="auto"/>
        <w:ind w:firstLine="480" w:firstLineChars="200"/>
        <w:rPr>
          <w:rFonts w:ascii="宋体" w:hAnsi="宋体" w:eastAsia="宋体" w:cs="宋体"/>
          <w:color w:val="000000"/>
          <w:sz w:val="24"/>
          <w:szCs w:val="24"/>
        </w:rPr>
      </w:pPr>
      <w:r>
        <w:rPr>
          <w:rFonts w:hint="eastAsia" w:ascii="宋体" w:hAnsi="宋体" w:eastAsia="宋体" w:cs="宋体"/>
          <w:sz w:val="24"/>
          <w:szCs w:val="24"/>
        </w:rPr>
        <w:t>售价：0元</w:t>
      </w:r>
    </w:p>
    <w:p w14:paraId="5D5E5212">
      <w:pPr>
        <w:keepNext/>
        <w:keepLines/>
        <w:spacing w:before="260" w:after="260"/>
        <w:rPr>
          <w:rFonts w:ascii="宋体" w:hAnsi="宋体" w:eastAsia="宋体" w:cs="宋体"/>
          <w:b/>
          <w:bCs/>
          <w:color w:val="000000"/>
          <w:sz w:val="24"/>
          <w:szCs w:val="24"/>
        </w:rPr>
      </w:pPr>
      <w:bookmarkStart w:id="21" w:name="_Toc35393801"/>
      <w:bookmarkStart w:id="22" w:name="_Toc28359092"/>
      <w:bookmarkStart w:id="23" w:name="_Toc35393632"/>
      <w:bookmarkStart w:id="24" w:name="_Toc28359015"/>
      <w:r>
        <w:rPr>
          <w:rFonts w:hint="eastAsia" w:ascii="宋体" w:hAnsi="宋体" w:eastAsia="宋体" w:cs="宋体"/>
          <w:b/>
          <w:bCs/>
          <w:color w:val="000000"/>
          <w:sz w:val="24"/>
          <w:szCs w:val="24"/>
        </w:rPr>
        <w:t>四、响应文件提交</w:t>
      </w:r>
      <w:bookmarkEnd w:id="21"/>
      <w:bookmarkEnd w:id="22"/>
      <w:bookmarkEnd w:id="23"/>
      <w:bookmarkEnd w:id="24"/>
    </w:p>
    <w:p w14:paraId="0F75302A">
      <w:pPr>
        <w:wordWrap w:val="0"/>
        <w:spacing w:line="360" w:lineRule="auto"/>
        <w:ind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u w:val="single"/>
        </w:rPr>
        <w:t>截止时间：2024年8月1</w:t>
      </w: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u w:val="single"/>
        </w:rPr>
        <w:t>日0</w:t>
      </w:r>
      <w:r>
        <w:rPr>
          <w:rFonts w:hint="eastAsia" w:ascii="宋体" w:hAnsi="宋体" w:eastAsia="宋体" w:cs="宋体"/>
          <w:color w:val="auto"/>
          <w:sz w:val="24"/>
          <w:szCs w:val="24"/>
          <w:u w:val="single"/>
          <w:lang w:val="en-US" w:eastAsia="zh-CN"/>
        </w:rPr>
        <w:t>9</w:t>
      </w:r>
      <w:r>
        <w:rPr>
          <w:rFonts w:hint="eastAsia" w:ascii="宋体" w:hAnsi="宋体" w:eastAsia="宋体" w:cs="宋体"/>
          <w:color w:val="auto"/>
          <w:sz w:val="24"/>
          <w:szCs w:val="24"/>
          <w:u w:val="single"/>
        </w:rPr>
        <w:t>点00分（北京时间）（从磋商文件开始发出之日起至供应商提交首次响应文件截止之日止不得少于10日）</w:t>
      </w:r>
    </w:p>
    <w:p w14:paraId="5BA42CBC">
      <w:pPr>
        <w:spacing w:line="360" w:lineRule="auto"/>
        <w:ind w:firstLine="480" w:firstLineChars="200"/>
        <w:rPr>
          <w:rFonts w:ascii="宋体" w:hAnsi="宋体" w:eastAsia="宋体" w:cs="宋体"/>
          <w:bCs/>
          <w:color w:val="000000"/>
          <w:sz w:val="24"/>
          <w:szCs w:val="24"/>
          <w:u w:val="single"/>
        </w:rPr>
      </w:pPr>
      <w:r>
        <w:rPr>
          <w:rFonts w:hint="eastAsia" w:ascii="宋体" w:hAnsi="宋体" w:eastAsia="宋体" w:cs="宋体"/>
          <w:color w:val="auto"/>
          <w:sz w:val="24"/>
          <w:szCs w:val="24"/>
        </w:rPr>
        <w:t>地点：滁州市科学技术馆</w:t>
      </w:r>
      <w:r>
        <w:rPr>
          <w:rFonts w:hint="eastAsia" w:ascii="宋体" w:hAnsi="宋体" w:eastAsia="宋体" w:cs="宋体"/>
          <w:sz w:val="24"/>
          <w:szCs w:val="24"/>
        </w:rPr>
        <w:t>四楼会议室 (中都大道与同乐路交叉路口政务中心西北滁州市科学技术馆）</w:t>
      </w:r>
    </w:p>
    <w:p w14:paraId="1A8E20DE">
      <w:pPr>
        <w:keepNext/>
        <w:keepLines/>
        <w:spacing w:before="260" w:after="260"/>
        <w:rPr>
          <w:rFonts w:ascii="宋体" w:hAnsi="宋体" w:eastAsia="宋体" w:cs="宋体"/>
          <w:b/>
          <w:bCs/>
          <w:color w:val="000000"/>
          <w:sz w:val="24"/>
          <w:szCs w:val="24"/>
        </w:rPr>
      </w:pPr>
      <w:bookmarkStart w:id="25" w:name="_Toc28359093"/>
      <w:bookmarkStart w:id="26" w:name="_Toc35393633"/>
      <w:bookmarkStart w:id="27" w:name="_Toc35393802"/>
      <w:bookmarkStart w:id="28" w:name="_Toc28359016"/>
      <w:r>
        <w:rPr>
          <w:rFonts w:hint="eastAsia" w:ascii="宋体" w:hAnsi="宋体" w:eastAsia="宋体" w:cs="宋体"/>
          <w:b/>
          <w:bCs/>
          <w:color w:val="000000"/>
          <w:sz w:val="24"/>
          <w:szCs w:val="24"/>
        </w:rPr>
        <w:t>五、开启</w:t>
      </w:r>
      <w:bookmarkEnd w:id="25"/>
      <w:bookmarkEnd w:id="26"/>
      <w:bookmarkEnd w:id="27"/>
      <w:bookmarkEnd w:id="28"/>
    </w:p>
    <w:p w14:paraId="6289A448">
      <w:pPr>
        <w:wordWrap w:val="0"/>
        <w:spacing w:line="360" w:lineRule="auto"/>
        <w:ind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u w:val="single"/>
        </w:rPr>
        <w:t>时间：2024年8月1</w:t>
      </w: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u w:val="single"/>
        </w:rPr>
        <w:t>日0</w:t>
      </w:r>
      <w:r>
        <w:rPr>
          <w:rFonts w:hint="eastAsia" w:ascii="宋体" w:hAnsi="宋体" w:eastAsia="宋体" w:cs="宋体"/>
          <w:color w:val="auto"/>
          <w:sz w:val="24"/>
          <w:szCs w:val="24"/>
          <w:u w:val="single"/>
          <w:lang w:val="en-US" w:eastAsia="zh-CN"/>
        </w:rPr>
        <w:t>9</w:t>
      </w:r>
      <w:r>
        <w:rPr>
          <w:rFonts w:hint="eastAsia" w:ascii="宋体" w:hAnsi="宋体" w:eastAsia="宋体" w:cs="宋体"/>
          <w:color w:val="auto"/>
          <w:sz w:val="24"/>
          <w:szCs w:val="24"/>
          <w:u w:val="single"/>
        </w:rPr>
        <w:t>点00分（北京时间）</w:t>
      </w:r>
    </w:p>
    <w:p w14:paraId="0A142E9F">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auto"/>
          <w:sz w:val="24"/>
          <w:szCs w:val="24"/>
        </w:rPr>
        <w:t>地点：滁州市科学技术馆四楼会议室 (中都大道与同乐路交叉路口政务中心西北滁州市科学技术</w:t>
      </w:r>
      <w:r>
        <w:rPr>
          <w:rFonts w:hint="eastAsia" w:ascii="宋体" w:hAnsi="宋体" w:eastAsia="宋体" w:cs="宋体"/>
          <w:sz w:val="24"/>
          <w:szCs w:val="24"/>
        </w:rPr>
        <w:t>馆）</w:t>
      </w:r>
    </w:p>
    <w:p w14:paraId="78845CA5">
      <w:pPr>
        <w:keepNext/>
        <w:keepLines/>
        <w:spacing w:before="260" w:after="260"/>
        <w:rPr>
          <w:rFonts w:ascii="宋体" w:hAnsi="宋体" w:eastAsia="宋体" w:cs="宋体"/>
          <w:b/>
          <w:bCs/>
          <w:color w:val="000000"/>
          <w:sz w:val="24"/>
          <w:szCs w:val="24"/>
        </w:rPr>
      </w:pPr>
      <w:r>
        <w:rPr>
          <w:rFonts w:hint="eastAsia" w:ascii="宋体" w:hAnsi="宋体" w:eastAsia="宋体" w:cs="宋体"/>
          <w:b/>
          <w:bCs/>
          <w:color w:val="000000"/>
          <w:sz w:val="24"/>
          <w:szCs w:val="24"/>
        </w:rPr>
        <w:t>六、公告期限</w:t>
      </w:r>
    </w:p>
    <w:p w14:paraId="786C8FA0">
      <w:pPr>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自本公告发布之日起3个工作日。</w:t>
      </w:r>
    </w:p>
    <w:p w14:paraId="2FCEBC87">
      <w:pPr>
        <w:keepNext/>
        <w:keepLines/>
        <w:spacing w:before="260" w:after="260"/>
        <w:rPr>
          <w:rFonts w:ascii="宋体" w:hAnsi="宋体" w:eastAsia="宋体" w:cs="宋体"/>
          <w:b/>
          <w:bCs/>
          <w:color w:val="000000"/>
          <w:sz w:val="24"/>
          <w:szCs w:val="24"/>
        </w:rPr>
      </w:pPr>
      <w:r>
        <w:rPr>
          <w:rFonts w:hint="eastAsia" w:ascii="宋体" w:hAnsi="宋体" w:eastAsia="宋体" w:cs="宋体"/>
          <w:b/>
          <w:bCs/>
          <w:color w:val="000000"/>
          <w:sz w:val="24"/>
          <w:szCs w:val="24"/>
        </w:rPr>
        <w:t>七、保证金金额及缴纳账户</w:t>
      </w:r>
    </w:p>
    <w:p w14:paraId="68CA493F">
      <w:pPr>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是否要求供应商提交保证金：不要求。</w:t>
      </w:r>
    </w:p>
    <w:p w14:paraId="7DF1BB87">
      <w:pPr>
        <w:keepNext/>
        <w:keepLines/>
        <w:spacing w:before="260" w:after="260"/>
        <w:rPr>
          <w:rFonts w:ascii="宋体" w:hAnsi="宋体" w:eastAsia="宋体" w:cs="宋体"/>
          <w:b/>
          <w:bCs/>
          <w:color w:val="000000"/>
          <w:sz w:val="24"/>
          <w:szCs w:val="24"/>
        </w:rPr>
      </w:pPr>
      <w:r>
        <w:rPr>
          <w:rFonts w:hint="eastAsia" w:ascii="宋体" w:hAnsi="宋体" w:eastAsia="宋体" w:cs="宋体"/>
          <w:b/>
          <w:bCs/>
          <w:color w:val="000000"/>
          <w:sz w:val="24"/>
          <w:szCs w:val="24"/>
        </w:rPr>
        <w:t>八、凡对本次采购提出询问，请按以下方式联系。</w:t>
      </w:r>
      <w:bookmarkEnd w:id="4"/>
      <w:bookmarkEnd w:id="5"/>
      <w:bookmarkEnd w:id="6"/>
      <w:bookmarkEnd w:id="7"/>
      <w:bookmarkEnd w:id="8"/>
    </w:p>
    <w:p w14:paraId="4C08C507">
      <w:pPr>
        <w:pStyle w:val="6"/>
        <w:spacing w:before="0" w:after="0" w:line="360" w:lineRule="auto"/>
        <w:ind w:firstLine="480" w:firstLineChars="200"/>
        <w:rPr>
          <w:rFonts w:ascii="宋体" w:hAnsi="宋体" w:eastAsia="宋体" w:cs="宋体"/>
          <w:b w:val="0"/>
          <w:sz w:val="24"/>
          <w:szCs w:val="24"/>
        </w:rPr>
      </w:pPr>
      <w:bookmarkStart w:id="29" w:name="_Toc28359019"/>
      <w:bookmarkStart w:id="30" w:name="_Toc35393637"/>
      <w:bookmarkStart w:id="31" w:name="_Toc29915"/>
      <w:bookmarkStart w:id="32" w:name="_Toc35393806"/>
      <w:bookmarkStart w:id="33" w:name="_Toc28359096"/>
      <w:r>
        <w:rPr>
          <w:rFonts w:hint="eastAsia" w:ascii="宋体" w:hAnsi="宋体" w:eastAsia="宋体" w:cs="宋体"/>
          <w:b w:val="0"/>
          <w:sz w:val="24"/>
          <w:szCs w:val="24"/>
        </w:rPr>
        <w:t>1.采购人信息</w:t>
      </w:r>
      <w:bookmarkEnd w:id="29"/>
      <w:bookmarkEnd w:id="30"/>
      <w:bookmarkEnd w:id="31"/>
      <w:bookmarkEnd w:id="32"/>
      <w:bookmarkEnd w:id="33"/>
    </w:p>
    <w:p w14:paraId="5385F2D2">
      <w:pPr>
        <w:spacing w:line="360" w:lineRule="auto"/>
        <w:ind w:firstLine="435"/>
        <w:rPr>
          <w:rFonts w:ascii="宋体" w:hAnsi="宋体" w:eastAsia="宋体"/>
          <w:sz w:val="24"/>
          <w:szCs w:val="18"/>
        </w:rPr>
      </w:pPr>
      <w:bookmarkStart w:id="34" w:name="_Toc35393638"/>
      <w:bookmarkStart w:id="35" w:name="_Toc28359097"/>
      <w:bookmarkStart w:id="36" w:name="_Toc28359020"/>
      <w:bookmarkStart w:id="37" w:name="_Toc35393807"/>
      <w:r>
        <w:rPr>
          <w:rFonts w:hint="eastAsia" w:ascii="宋体" w:hAnsi="宋体" w:eastAsia="宋体" w:cs="宋体"/>
          <w:sz w:val="24"/>
          <w:szCs w:val="24"/>
        </w:rPr>
        <w:t>名  称</w:t>
      </w:r>
      <w:r>
        <w:rPr>
          <w:rFonts w:hint="eastAsia" w:ascii="宋体" w:hAnsi="宋体" w:eastAsia="宋体"/>
          <w:sz w:val="24"/>
          <w:szCs w:val="18"/>
        </w:rPr>
        <w:t>：</w:t>
      </w:r>
      <w:r>
        <w:rPr>
          <w:rFonts w:hint="eastAsia" w:ascii="宋体" w:hAnsi="宋体" w:eastAsia="宋体"/>
          <w:sz w:val="24"/>
          <w:szCs w:val="18"/>
          <w:u w:val="single"/>
        </w:rPr>
        <w:t>滁州市科学技术馆</w:t>
      </w:r>
    </w:p>
    <w:p w14:paraId="4C9D0925">
      <w:pPr>
        <w:spacing w:line="360" w:lineRule="auto"/>
        <w:ind w:firstLine="435"/>
        <w:rPr>
          <w:rFonts w:ascii="宋体" w:hAnsi="宋体" w:eastAsia="宋体"/>
          <w:sz w:val="24"/>
          <w:szCs w:val="18"/>
          <w:u w:val="single"/>
        </w:rPr>
      </w:pPr>
      <w:r>
        <w:rPr>
          <w:rFonts w:hint="eastAsia" w:ascii="宋体" w:hAnsi="宋体" w:eastAsia="宋体"/>
          <w:sz w:val="24"/>
          <w:szCs w:val="18"/>
        </w:rPr>
        <w:t xml:space="preserve">地 </w:t>
      </w:r>
      <w:r>
        <w:rPr>
          <w:rFonts w:ascii="宋体" w:hAnsi="宋体" w:eastAsia="宋体"/>
          <w:sz w:val="24"/>
          <w:szCs w:val="18"/>
        </w:rPr>
        <w:t xml:space="preserve"> </w:t>
      </w:r>
      <w:r>
        <w:rPr>
          <w:rFonts w:hint="eastAsia" w:ascii="宋体" w:hAnsi="宋体" w:eastAsia="宋体"/>
          <w:sz w:val="24"/>
          <w:szCs w:val="18"/>
        </w:rPr>
        <w:t>址：</w:t>
      </w:r>
      <w:r>
        <w:rPr>
          <w:rFonts w:hint="eastAsia" w:ascii="宋体" w:hAnsi="宋体" w:eastAsia="宋体"/>
          <w:sz w:val="24"/>
          <w:szCs w:val="18"/>
          <w:u w:val="single"/>
        </w:rPr>
        <w:t>滁州市中都大道与同乐路交叉路口政务中心西北</w:t>
      </w:r>
    </w:p>
    <w:p w14:paraId="08BCE7C7">
      <w:pPr>
        <w:spacing w:line="360" w:lineRule="auto"/>
        <w:ind w:firstLine="435"/>
        <w:rPr>
          <w:rFonts w:ascii="宋体" w:hAnsi="宋体" w:eastAsia="宋体"/>
          <w:sz w:val="24"/>
          <w:szCs w:val="18"/>
        </w:rPr>
      </w:pPr>
      <w:r>
        <w:rPr>
          <w:rFonts w:hint="eastAsia" w:ascii="宋体" w:hAnsi="宋体" w:eastAsia="宋体"/>
          <w:sz w:val="24"/>
          <w:szCs w:val="18"/>
        </w:rPr>
        <w:t>联系人：</w:t>
      </w:r>
      <w:r>
        <w:rPr>
          <w:rFonts w:hint="eastAsia" w:ascii="宋体" w:hAnsi="宋体" w:eastAsia="宋体"/>
          <w:sz w:val="24"/>
          <w:szCs w:val="18"/>
          <w:u w:val="single"/>
        </w:rPr>
        <w:t xml:space="preserve">      张工      </w:t>
      </w:r>
    </w:p>
    <w:p w14:paraId="78F13B14">
      <w:pPr>
        <w:spacing w:line="360" w:lineRule="auto"/>
        <w:ind w:firstLine="435"/>
        <w:rPr>
          <w:rFonts w:ascii="宋体" w:hAnsi="宋体" w:eastAsia="宋体"/>
          <w:sz w:val="24"/>
          <w:szCs w:val="18"/>
        </w:rPr>
      </w:pPr>
      <w:r>
        <w:rPr>
          <w:rFonts w:hint="eastAsia" w:ascii="宋体" w:hAnsi="宋体" w:eastAsia="宋体"/>
          <w:sz w:val="24"/>
          <w:szCs w:val="18"/>
        </w:rPr>
        <w:t>联系方式：</w:t>
      </w:r>
      <w:r>
        <w:rPr>
          <w:rFonts w:hint="eastAsia" w:ascii="宋体" w:hAnsi="宋体" w:eastAsia="宋体"/>
          <w:sz w:val="24"/>
          <w:szCs w:val="18"/>
          <w:u w:val="single"/>
        </w:rPr>
        <w:t xml:space="preserve">0550-3062150  </w:t>
      </w:r>
    </w:p>
    <w:p w14:paraId="38F06AE6">
      <w:pPr>
        <w:pStyle w:val="6"/>
        <w:spacing w:before="0" w:after="0" w:line="360" w:lineRule="auto"/>
        <w:ind w:firstLine="480" w:firstLineChars="200"/>
        <w:rPr>
          <w:rFonts w:ascii="宋体" w:hAnsi="宋体" w:eastAsia="宋体" w:cs="宋体"/>
          <w:b w:val="0"/>
          <w:sz w:val="24"/>
          <w:szCs w:val="24"/>
        </w:rPr>
      </w:pPr>
      <w:bookmarkStart w:id="38" w:name="_Toc15577"/>
      <w:r>
        <w:rPr>
          <w:rFonts w:hint="eastAsia" w:ascii="宋体" w:hAnsi="宋体" w:eastAsia="宋体" w:cs="宋体"/>
          <w:b w:val="0"/>
          <w:sz w:val="24"/>
          <w:szCs w:val="24"/>
        </w:rPr>
        <w:t>2.采购代理机构信息</w:t>
      </w:r>
      <w:bookmarkEnd w:id="34"/>
      <w:bookmarkEnd w:id="35"/>
      <w:bookmarkEnd w:id="36"/>
      <w:bookmarkEnd w:id="37"/>
      <w:bookmarkEnd w:id="38"/>
    </w:p>
    <w:p w14:paraId="64772F53">
      <w:pPr>
        <w:spacing w:line="360" w:lineRule="auto"/>
        <w:ind w:firstLine="435"/>
        <w:rPr>
          <w:rFonts w:ascii="宋体" w:hAnsi="宋体" w:eastAsia="宋体"/>
          <w:sz w:val="24"/>
          <w:szCs w:val="18"/>
        </w:rPr>
      </w:pPr>
      <w:bookmarkStart w:id="39" w:name="_Toc35393808"/>
      <w:bookmarkStart w:id="40" w:name="_Toc28359098"/>
      <w:bookmarkStart w:id="41" w:name="_Toc28359021"/>
      <w:bookmarkStart w:id="42" w:name="_Toc35393639"/>
      <w:r>
        <w:rPr>
          <w:rFonts w:hint="eastAsia" w:ascii="宋体" w:hAnsi="宋体" w:eastAsia="宋体" w:cs="宋体"/>
          <w:sz w:val="24"/>
          <w:szCs w:val="24"/>
        </w:rPr>
        <w:t>名  称</w:t>
      </w:r>
      <w:r>
        <w:rPr>
          <w:rFonts w:hint="eastAsia" w:ascii="宋体" w:hAnsi="宋体" w:eastAsia="宋体"/>
          <w:sz w:val="24"/>
          <w:szCs w:val="18"/>
        </w:rPr>
        <w:t>：</w:t>
      </w:r>
      <w:r>
        <w:rPr>
          <w:rFonts w:hint="eastAsia" w:ascii="宋体" w:hAnsi="宋体" w:eastAsia="宋体"/>
          <w:sz w:val="24"/>
          <w:szCs w:val="18"/>
          <w:u w:val="single"/>
        </w:rPr>
        <w:t>安徽凯泰工程项目管理有限公司</w:t>
      </w:r>
    </w:p>
    <w:p w14:paraId="639700C4">
      <w:pPr>
        <w:spacing w:line="360" w:lineRule="auto"/>
        <w:ind w:firstLine="435"/>
        <w:rPr>
          <w:rFonts w:ascii="宋体" w:hAnsi="宋体" w:eastAsia="宋体"/>
          <w:sz w:val="24"/>
          <w:szCs w:val="18"/>
          <w:u w:val="single"/>
        </w:rPr>
      </w:pPr>
      <w:r>
        <w:rPr>
          <w:rFonts w:hint="eastAsia" w:ascii="宋体" w:hAnsi="宋体" w:eastAsia="宋体"/>
          <w:sz w:val="24"/>
          <w:szCs w:val="18"/>
        </w:rPr>
        <w:t>地</w:t>
      </w:r>
      <w:r>
        <w:rPr>
          <w:rFonts w:ascii="宋体" w:hAnsi="宋体" w:eastAsia="宋体"/>
          <w:sz w:val="24"/>
          <w:szCs w:val="18"/>
        </w:rPr>
        <w:t xml:space="preserve">  址：</w:t>
      </w:r>
      <w:r>
        <w:rPr>
          <w:rFonts w:hint="eastAsia" w:ascii="宋体" w:hAnsi="宋体" w:eastAsia="宋体"/>
          <w:sz w:val="24"/>
          <w:szCs w:val="18"/>
          <w:u w:val="single"/>
        </w:rPr>
        <w:t>滁州市琅琊区天乐路66号</w:t>
      </w:r>
      <w:r>
        <w:rPr>
          <w:rFonts w:ascii="宋体" w:hAnsi="宋体" w:eastAsia="宋体"/>
          <w:sz w:val="24"/>
          <w:szCs w:val="18"/>
          <w:u w:val="single"/>
        </w:rPr>
        <w:t xml:space="preserve"> </w:t>
      </w:r>
      <w:r>
        <w:rPr>
          <w:rFonts w:hint="eastAsia" w:ascii="宋体" w:hAnsi="宋体" w:eastAsia="宋体"/>
          <w:sz w:val="24"/>
          <w:szCs w:val="18"/>
          <w:u w:val="single"/>
        </w:rPr>
        <w:t xml:space="preserve">    </w:t>
      </w:r>
    </w:p>
    <w:p w14:paraId="3A0D6143">
      <w:pPr>
        <w:spacing w:line="360" w:lineRule="auto"/>
        <w:ind w:firstLine="435"/>
        <w:rPr>
          <w:rFonts w:eastAsia="宋体"/>
        </w:rPr>
      </w:pPr>
      <w:r>
        <w:rPr>
          <w:rFonts w:hint="eastAsia" w:ascii="宋体" w:hAnsi="宋体" w:eastAsia="宋体"/>
          <w:sz w:val="24"/>
          <w:szCs w:val="18"/>
        </w:rPr>
        <w:t>联系人：</w:t>
      </w:r>
      <w:r>
        <w:rPr>
          <w:rFonts w:hint="eastAsia" w:ascii="宋体" w:hAnsi="宋体" w:eastAsia="宋体"/>
          <w:sz w:val="24"/>
          <w:szCs w:val="18"/>
          <w:u w:val="single"/>
        </w:rPr>
        <w:t>王月</w:t>
      </w:r>
      <w:r>
        <w:rPr>
          <w:rFonts w:ascii="宋体" w:hAnsi="宋体" w:eastAsia="宋体"/>
          <w:sz w:val="24"/>
          <w:szCs w:val="18"/>
          <w:u w:val="single"/>
        </w:rPr>
        <w:t xml:space="preserve"> </w:t>
      </w:r>
      <w:r>
        <w:rPr>
          <w:rFonts w:hint="eastAsia" w:ascii="宋体" w:hAnsi="宋体" w:eastAsia="宋体"/>
          <w:sz w:val="24"/>
          <w:szCs w:val="18"/>
          <w:u w:val="single"/>
        </w:rPr>
        <w:t xml:space="preserve"> </w:t>
      </w:r>
    </w:p>
    <w:p w14:paraId="1C0AF407">
      <w:pPr>
        <w:spacing w:line="360" w:lineRule="auto"/>
        <w:ind w:firstLine="435"/>
        <w:rPr>
          <w:rFonts w:ascii="宋体" w:hAnsi="宋体" w:eastAsia="宋体"/>
          <w:sz w:val="24"/>
          <w:szCs w:val="18"/>
        </w:rPr>
      </w:pPr>
      <w:r>
        <w:rPr>
          <w:rFonts w:hint="eastAsia" w:ascii="宋体" w:hAnsi="宋体" w:eastAsia="宋体"/>
          <w:sz w:val="24"/>
          <w:szCs w:val="18"/>
        </w:rPr>
        <w:t>联系方式：</w:t>
      </w:r>
      <w:r>
        <w:rPr>
          <w:rFonts w:hint="eastAsia" w:ascii="宋体" w:hAnsi="宋体" w:eastAsia="宋体"/>
          <w:sz w:val="24"/>
          <w:szCs w:val="18"/>
          <w:u w:val="single"/>
        </w:rPr>
        <w:t>18155093151</w:t>
      </w:r>
      <w:r>
        <w:rPr>
          <w:rFonts w:ascii="宋体" w:hAnsi="宋体" w:eastAsia="宋体"/>
          <w:sz w:val="24"/>
          <w:szCs w:val="18"/>
          <w:u w:val="single"/>
        </w:rPr>
        <w:t xml:space="preserve"> </w:t>
      </w:r>
    </w:p>
    <w:bookmarkEnd w:id="39"/>
    <w:bookmarkEnd w:id="40"/>
    <w:bookmarkEnd w:id="41"/>
    <w:bookmarkEnd w:id="42"/>
    <w:p w14:paraId="6855AF09">
      <w:pPr>
        <w:spacing w:line="360" w:lineRule="auto"/>
        <w:ind w:firstLine="437"/>
        <w:rPr>
          <w:rFonts w:ascii="宋体" w:hAnsi="宋体" w:eastAsia="宋体"/>
          <w:sz w:val="24"/>
          <w:szCs w:val="18"/>
        </w:rPr>
      </w:pPr>
      <w:r>
        <w:rPr>
          <w:rFonts w:hint="eastAsia" w:ascii="宋体" w:hAnsi="宋体" w:eastAsia="宋体"/>
          <w:bCs/>
          <w:sz w:val="24"/>
          <w:szCs w:val="18"/>
        </w:rPr>
        <w:t>3</w:t>
      </w:r>
      <w:r>
        <w:rPr>
          <w:rFonts w:hint="eastAsia" w:ascii="宋体" w:hAnsi="宋体" w:eastAsia="宋体"/>
          <w:b/>
          <w:sz w:val="24"/>
          <w:szCs w:val="18"/>
        </w:rPr>
        <w:t>.</w:t>
      </w:r>
      <w:r>
        <w:rPr>
          <w:rFonts w:hint="eastAsia" w:ascii="宋体" w:hAnsi="宋体" w:eastAsia="宋体"/>
          <w:sz w:val="24"/>
          <w:szCs w:val="18"/>
        </w:rPr>
        <w:t>项目联系方式</w:t>
      </w:r>
    </w:p>
    <w:p w14:paraId="53552B74">
      <w:pPr>
        <w:spacing w:line="360" w:lineRule="auto"/>
        <w:ind w:firstLine="437"/>
        <w:rPr>
          <w:rFonts w:ascii="宋体" w:hAnsi="宋体" w:eastAsia="宋体"/>
          <w:sz w:val="24"/>
          <w:szCs w:val="18"/>
        </w:rPr>
      </w:pPr>
      <w:r>
        <w:rPr>
          <w:rFonts w:hint="eastAsia" w:ascii="宋体" w:hAnsi="宋体" w:eastAsia="宋体"/>
          <w:sz w:val="24"/>
          <w:szCs w:val="18"/>
        </w:rPr>
        <w:t>项目联系人：张工、王月</w:t>
      </w:r>
    </w:p>
    <w:p w14:paraId="7C73B7A0">
      <w:pPr>
        <w:spacing w:line="360" w:lineRule="auto"/>
        <w:ind w:firstLine="437"/>
        <w:rPr>
          <w:rFonts w:ascii="宋体" w:hAnsi="宋体" w:eastAsia="宋体"/>
          <w:b/>
          <w:sz w:val="24"/>
          <w:szCs w:val="18"/>
        </w:rPr>
      </w:pPr>
      <w:r>
        <w:rPr>
          <w:rFonts w:hint="eastAsia" w:ascii="宋体" w:hAnsi="宋体" w:eastAsia="宋体"/>
          <w:sz w:val="24"/>
          <w:szCs w:val="18"/>
        </w:rPr>
        <w:t>电话：0550-3062150、18155093151</w:t>
      </w:r>
    </w:p>
    <w:p w14:paraId="097E3E19">
      <w:pPr>
        <w:spacing w:line="360" w:lineRule="auto"/>
        <w:ind w:firstLine="437"/>
        <w:rPr>
          <w:rFonts w:ascii="宋体" w:hAnsi="宋体" w:eastAsia="宋体"/>
          <w:sz w:val="24"/>
          <w:szCs w:val="18"/>
        </w:rPr>
      </w:pPr>
      <w:r>
        <w:rPr>
          <w:rFonts w:ascii="宋体" w:hAnsi="宋体" w:eastAsia="宋体"/>
          <w:sz w:val="24"/>
          <w:szCs w:val="18"/>
        </w:rPr>
        <w:br w:type="page"/>
      </w:r>
    </w:p>
    <w:p w14:paraId="58E299BC">
      <w:pPr>
        <w:spacing w:line="360" w:lineRule="auto"/>
        <w:jc w:val="center"/>
        <w:outlineLvl w:val="0"/>
        <w:rPr>
          <w:rFonts w:asciiTheme="minorEastAsia" w:hAnsiTheme="minorEastAsia" w:eastAsiaTheme="minorEastAsia"/>
          <w:b/>
          <w:sz w:val="28"/>
        </w:rPr>
      </w:pPr>
      <w:bookmarkStart w:id="43" w:name="_Toc7162"/>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供应商</w:t>
      </w:r>
      <w:r>
        <w:rPr>
          <w:rFonts w:asciiTheme="minorEastAsia" w:hAnsiTheme="minorEastAsia" w:eastAsiaTheme="minorEastAsia"/>
          <w:b/>
          <w:sz w:val="28"/>
        </w:rPr>
        <w:t>须知</w:t>
      </w:r>
      <w:bookmarkEnd w:id="43"/>
    </w:p>
    <w:p w14:paraId="00995707">
      <w:pPr>
        <w:spacing w:line="360" w:lineRule="auto"/>
        <w:jc w:val="center"/>
        <w:outlineLvl w:val="1"/>
        <w:rPr>
          <w:rFonts w:asciiTheme="minorEastAsia" w:hAnsiTheme="minorEastAsia" w:eastAsiaTheme="minorEastAsia"/>
          <w:b/>
          <w:sz w:val="24"/>
        </w:rPr>
      </w:pPr>
      <w:bookmarkStart w:id="44" w:name="_Toc11383"/>
      <w:bookmarkStart w:id="45" w:name="_Toc11709"/>
      <w:r>
        <w:rPr>
          <w:rFonts w:hint="eastAsia" w:asciiTheme="minorEastAsia" w:hAnsiTheme="minorEastAsia" w:eastAsiaTheme="minorEastAsia"/>
          <w:b/>
          <w:sz w:val="24"/>
        </w:rPr>
        <w:t>一、供应商</w:t>
      </w:r>
      <w:r>
        <w:rPr>
          <w:rFonts w:asciiTheme="minorEastAsia" w:hAnsiTheme="minorEastAsia" w:eastAsiaTheme="minorEastAsia"/>
          <w:b/>
          <w:sz w:val="24"/>
        </w:rPr>
        <w:t>须知前附表</w:t>
      </w:r>
      <w:bookmarkEnd w:id="44"/>
      <w:bookmarkEnd w:id="45"/>
    </w:p>
    <w:p w14:paraId="0FC7E8EA">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本表是本项目的具体要求，是对供应商须知的具体补充和修改，如有不一致，以本表为准。</w:t>
      </w:r>
    </w:p>
    <w:tbl>
      <w:tblPr>
        <w:tblStyle w:val="27"/>
        <w:tblW w:w="56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510"/>
        <w:gridCol w:w="7252"/>
      </w:tblGrid>
      <w:tr w14:paraId="3D3A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9" w:type="dxa"/>
            <w:vAlign w:val="center"/>
          </w:tcPr>
          <w:p w14:paraId="157F2ABF">
            <w:pPr>
              <w:pStyle w:val="47"/>
              <w:widowControl w:val="0"/>
              <w:spacing w:before="0" w:beforeAutospacing="0" w:after="0" w:afterAutospacing="0" w:line="360" w:lineRule="auto"/>
              <w:rPr>
                <w:rFonts w:ascii="宋体" w:hAnsi="宋体" w:eastAsia="宋体"/>
                <w:bCs w:val="0"/>
                <w:kern w:val="2"/>
                <w:sz w:val="24"/>
                <w:szCs w:val="20"/>
              </w:rPr>
            </w:pPr>
            <w:r>
              <w:rPr>
                <w:rFonts w:hint="eastAsia" w:ascii="宋体" w:hAnsi="宋体" w:eastAsia="宋体"/>
                <w:bCs w:val="0"/>
                <w:kern w:val="2"/>
                <w:sz w:val="24"/>
                <w:szCs w:val="20"/>
              </w:rPr>
              <w:t>条款号</w:t>
            </w:r>
          </w:p>
        </w:tc>
        <w:tc>
          <w:tcPr>
            <w:tcW w:w="1506" w:type="dxa"/>
            <w:vAlign w:val="center"/>
          </w:tcPr>
          <w:p w14:paraId="56A9BC1B">
            <w:pPr>
              <w:pStyle w:val="47"/>
              <w:widowControl w:val="0"/>
              <w:spacing w:before="0" w:beforeAutospacing="0" w:after="0" w:afterAutospacing="0" w:line="360" w:lineRule="auto"/>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7260" w:type="dxa"/>
            <w:vAlign w:val="center"/>
          </w:tcPr>
          <w:p w14:paraId="72D9E8A7">
            <w:pPr>
              <w:pStyle w:val="47"/>
              <w:widowControl w:val="0"/>
              <w:spacing w:before="0" w:beforeAutospacing="0" w:after="0" w:afterAutospacing="0" w:line="360" w:lineRule="auto"/>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14:paraId="3390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9" w:type="dxa"/>
            <w:vAlign w:val="center"/>
          </w:tcPr>
          <w:p w14:paraId="151D41F2">
            <w:pPr>
              <w:pStyle w:val="48"/>
            </w:pPr>
            <w:r>
              <w:rPr>
                <w:rFonts w:hint="eastAsia"/>
              </w:rPr>
              <w:t>5</w:t>
            </w:r>
            <w:r>
              <w:t>.</w:t>
            </w:r>
            <w:r>
              <w:rPr>
                <w:rFonts w:hint="eastAsia"/>
              </w:rPr>
              <w:t>2</w:t>
            </w:r>
          </w:p>
        </w:tc>
        <w:tc>
          <w:tcPr>
            <w:tcW w:w="1506" w:type="dxa"/>
            <w:vAlign w:val="center"/>
          </w:tcPr>
          <w:p w14:paraId="263823A1">
            <w:pPr>
              <w:pStyle w:val="47"/>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kern w:val="2"/>
                <w:sz w:val="24"/>
                <w:szCs w:val="22"/>
              </w:rPr>
              <w:t>现场考察或标前答疑会</w:t>
            </w:r>
          </w:p>
        </w:tc>
        <w:tc>
          <w:tcPr>
            <w:tcW w:w="7260" w:type="dxa"/>
            <w:vAlign w:val="center"/>
          </w:tcPr>
          <w:p w14:paraId="6CE48D79">
            <w:pPr>
              <w:spacing w:line="360" w:lineRule="auto"/>
              <w:rPr>
                <w:rFonts w:ascii="宋体" w:hAnsi="宋体" w:eastAsia="宋体"/>
                <w:bCs/>
                <w:sz w:val="24"/>
              </w:rPr>
            </w:pPr>
            <w:r>
              <w:rPr>
                <w:rFonts w:hint="eastAsia" w:ascii="宋体" w:hAnsi="宋体" w:eastAsia="宋体"/>
                <w:sz w:val="24"/>
                <w:szCs w:val="24"/>
              </w:rPr>
              <w:sym w:font="Wingdings" w:char="00FE"/>
            </w:r>
            <w:r>
              <w:rPr>
                <w:rFonts w:hint="eastAsia" w:ascii="宋体" w:hAnsi="宋体" w:eastAsia="宋体"/>
                <w:sz w:val="24"/>
              </w:rPr>
              <w:t>不组织或不召开</w:t>
            </w:r>
          </w:p>
        </w:tc>
      </w:tr>
      <w:tr w14:paraId="67A3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9" w:type="dxa"/>
            <w:vAlign w:val="center"/>
          </w:tcPr>
          <w:p w14:paraId="6669F694">
            <w:pPr>
              <w:pStyle w:val="48"/>
            </w:pPr>
            <w:r>
              <w:rPr>
                <w:rFonts w:hint="eastAsia"/>
              </w:rPr>
              <w:t>6</w:t>
            </w:r>
            <w:r>
              <w:t>.1</w:t>
            </w:r>
          </w:p>
        </w:tc>
        <w:tc>
          <w:tcPr>
            <w:tcW w:w="1506" w:type="dxa"/>
            <w:vAlign w:val="center"/>
          </w:tcPr>
          <w:p w14:paraId="2FBECDAD">
            <w:pPr>
              <w:pStyle w:val="47"/>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供应商提出疑问的截止时间及方式</w:t>
            </w:r>
          </w:p>
        </w:tc>
        <w:tc>
          <w:tcPr>
            <w:tcW w:w="7260" w:type="dxa"/>
            <w:vAlign w:val="center"/>
          </w:tcPr>
          <w:p w14:paraId="009C7E2D">
            <w:pPr>
              <w:pStyle w:val="47"/>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cs="宋体"/>
                <w:b w:val="0"/>
                <w:bCs w:val="0"/>
                <w:color w:val="auto"/>
                <w:sz w:val="24"/>
                <w:szCs w:val="24"/>
              </w:rPr>
              <w:t>请于</w:t>
            </w:r>
            <w:r>
              <w:rPr>
                <w:rFonts w:hint="eastAsia" w:ascii="宋体" w:hAnsi="宋体" w:eastAsia="宋体" w:cs="宋体"/>
                <w:b w:val="0"/>
                <w:bCs w:val="0"/>
                <w:color w:val="auto"/>
                <w:sz w:val="24"/>
                <w:szCs w:val="24"/>
                <w:u w:val="single"/>
              </w:rPr>
              <w:t xml:space="preserve"> 2024</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u w:val="single"/>
              </w:rPr>
              <w:t xml:space="preserve"> </w:t>
            </w:r>
            <w:r>
              <w:rPr>
                <w:rFonts w:ascii="宋体" w:hAnsi="宋体" w:eastAsia="宋体" w:cs="宋体"/>
                <w:b w:val="0"/>
                <w:bCs w:val="0"/>
                <w:color w:val="auto"/>
                <w:sz w:val="24"/>
                <w:szCs w:val="24"/>
                <w:u w:val="single"/>
              </w:rPr>
              <w:t>8</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u w:val="single"/>
              </w:rPr>
              <w:t>1</w:t>
            </w:r>
            <w:r>
              <w:rPr>
                <w:rFonts w:hint="eastAsia" w:ascii="宋体" w:hAnsi="宋体" w:eastAsia="宋体" w:cs="宋体"/>
                <w:b w:val="0"/>
                <w:bCs w:val="0"/>
                <w:color w:val="auto"/>
                <w:sz w:val="24"/>
                <w:szCs w:val="24"/>
                <w:u w:val="single"/>
                <w:lang w:val="en-US" w:eastAsia="zh-CN"/>
              </w:rPr>
              <w:t>2</w:t>
            </w:r>
            <w:r>
              <w:rPr>
                <w:rFonts w:hint="eastAsia" w:ascii="宋体" w:hAnsi="宋体" w:eastAsia="宋体" w:cs="宋体"/>
                <w:b w:val="0"/>
                <w:bCs w:val="0"/>
                <w:color w:val="auto"/>
                <w:sz w:val="24"/>
                <w:szCs w:val="24"/>
              </w:rPr>
              <w:t>日</w:t>
            </w:r>
            <w:r>
              <w:rPr>
                <w:rFonts w:ascii="宋体" w:hAnsi="宋体" w:eastAsia="宋体" w:cs="宋体"/>
                <w:b w:val="0"/>
                <w:bCs w:val="0"/>
                <w:color w:val="auto"/>
                <w:sz w:val="24"/>
                <w:szCs w:val="24"/>
                <w:u w:val="single"/>
              </w:rPr>
              <w:t>17</w:t>
            </w:r>
            <w:r>
              <w:rPr>
                <w:rFonts w:hint="eastAsia" w:ascii="宋体" w:hAnsi="宋体" w:eastAsia="宋体" w:cs="宋体"/>
                <w:b w:val="0"/>
                <w:bCs w:val="0"/>
                <w:color w:val="auto"/>
                <w:sz w:val="24"/>
                <w:szCs w:val="24"/>
              </w:rPr>
              <w:t>时</w:t>
            </w:r>
            <w:r>
              <w:rPr>
                <w:rFonts w:hint="eastAsia" w:ascii="宋体" w:hAnsi="宋体" w:eastAsia="宋体" w:cs="宋体"/>
                <w:b w:val="0"/>
                <w:bCs w:val="0"/>
                <w:color w:val="auto"/>
                <w:sz w:val="24"/>
                <w:szCs w:val="24"/>
                <w:u w:val="single"/>
              </w:rPr>
              <w:t>3</w:t>
            </w:r>
            <w:r>
              <w:rPr>
                <w:rFonts w:ascii="宋体" w:hAnsi="宋体" w:eastAsia="宋体" w:cs="宋体"/>
                <w:b w:val="0"/>
                <w:bCs w:val="0"/>
                <w:color w:val="auto"/>
                <w:sz w:val="24"/>
                <w:szCs w:val="24"/>
                <w:u w:val="single"/>
              </w:rPr>
              <w:t>0</w:t>
            </w:r>
            <w:r>
              <w:rPr>
                <w:rFonts w:hint="eastAsia" w:ascii="宋体" w:hAnsi="宋体" w:eastAsia="宋体" w:cs="宋体"/>
                <w:b w:val="0"/>
                <w:bCs w:val="0"/>
                <w:color w:val="auto"/>
                <w:sz w:val="24"/>
                <w:szCs w:val="24"/>
              </w:rPr>
              <w:t>分前将疑问内容以电子邮件形式发送至1171565220@qq.com。</w:t>
            </w:r>
          </w:p>
        </w:tc>
      </w:tr>
      <w:tr w14:paraId="67E6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9" w:type="dxa"/>
            <w:vAlign w:val="center"/>
          </w:tcPr>
          <w:p w14:paraId="3C046AD8">
            <w:pPr>
              <w:pStyle w:val="48"/>
            </w:pPr>
            <w:r>
              <w:rPr>
                <w:rFonts w:hint="eastAsia"/>
              </w:rPr>
              <w:t>6</w:t>
            </w:r>
            <w:r>
              <w:t>.2</w:t>
            </w:r>
          </w:p>
        </w:tc>
        <w:tc>
          <w:tcPr>
            <w:tcW w:w="1506" w:type="dxa"/>
            <w:vAlign w:val="center"/>
          </w:tcPr>
          <w:p w14:paraId="63D4D168">
            <w:pPr>
              <w:pStyle w:val="47"/>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采购人澄清的时间及方式</w:t>
            </w:r>
          </w:p>
        </w:tc>
        <w:tc>
          <w:tcPr>
            <w:tcW w:w="7260" w:type="dxa"/>
            <w:vAlign w:val="center"/>
          </w:tcPr>
          <w:p w14:paraId="5DCB60CF">
            <w:pPr>
              <w:pStyle w:val="47"/>
              <w:widowControl w:val="0"/>
              <w:spacing w:before="0" w:beforeAutospacing="0" w:after="0" w:afterAutospacing="0" w:line="360" w:lineRule="auto"/>
              <w:jc w:val="both"/>
              <w:rPr>
                <w:rFonts w:ascii="宋体" w:hAnsi="宋体" w:eastAsia="宋体" w:cs="宋体"/>
                <w:b w:val="0"/>
                <w:bCs w:val="0"/>
                <w:color w:val="auto"/>
                <w:sz w:val="24"/>
                <w:szCs w:val="24"/>
              </w:rPr>
            </w:pPr>
            <w:r>
              <w:rPr>
                <w:rFonts w:hint="eastAsia" w:ascii="宋体" w:hAnsi="宋体" w:eastAsia="宋体" w:cs="宋体"/>
                <w:b w:val="0"/>
                <w:bCs w:val="0"/>
                <w:color w:val="auto"/>
                <w:sz w:val="24"/>
                <w:szCs w:val="24"/>
                <w:u w:val="single"/>
              </w:rPr>
              <w:t>2024</w:t>
            </w:r>
            <w:r>
              <w:rPr>
                <w:rFonts w:hint="eastAsia" w:ascii="宋体" w:hAnsi="宋体" w:eastAsia="宋体" w:cs="宋体"/>
                <w:b w:val="0"/>
                <w:bCs w:val="0"/>
                <w:color w:val="auto"/>
                <w:sz w:val="24"/>
                <w:szCs w:val="24"/>
              </w:rPr>
              <w:t>年</w:t>
            </w:r>
            <w:r>
              <w:rPr>
                <w:rFonts w:ascii="宋体" w:hAnsi="宋体" w:eastAsia="宋体" w:cs="宋体"/>
                <w:b w:val="0"/>
                <w:bCs w:val="0"/>
                <w:color w:val="auto"/>
                <w:sz w:val="24"/>
                <w:szCs w:val="24"/>
                <w:u w:val="single"/>
              </w:rPr>
              <w:t>8</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u w:val="single"/>
              </w:rPr>
              <w:t>1</w:t>
            </w:r>
            <w:r>
              <w:rPr>
                <w:rFonts w:hint="eastAsia" w:ascii="宋体" w:hAnsi="宋体" w:eastAsia="宋体" w:cs="宋体"/>
                <w:b w:val="0"/>
                <w:bCs w:val="0"/>
                <w:color w:val="auto"/>
                <w:sz w:val="24"/>
                <w:szCs w:val="24"/>
                <w:u w:val="single"/>
                <w:lang w:val="en-US" w:eastAsia="zh-CN"/>
              </w:rPr>
              <w:t>3</w:t>
            </w:r>
            <w:r>
              <w:rPr>
                <w:rFonts w:hint="eastAsia" w:ascii="宋体" w:hAnsi="宋体" w:eastAsia="宋体" w:cs="宋体"/>
                <w:b w:val="0"/>
                <w:bCs w:val="0"/>
                <w:color w:val="auto"/>
                <w:sz w:val="24"/>
                <w:szCs w:val="24"/>
              </w:rPr>
              <w:t>日</w:t>
            </w:r>
            <w:r>
              <w:rPr>
                <w:rFonts w:hint="eastAsia" w:ascii="宋体" w:hAnsi="宋体" w:eastAsia="宋体" w:cs="宋体"/>
                <w:b w:val="0"/>
                <w:bCs w:val="0"/>
                <w:color w:val="auto"/>
                <w:sz w:val="24"/>
                <w:szCs w:val="24"/>
                <w:u w:val="single"/>
              </w:rPr>
              <w:t>17</w:t>
            </w:r>
            <w:r>
              <w:rPr>
                <w:rFonts w:hint="eastAsia" w:ascii="宋体" w:hAnsi="宋体" w:eastAsia="宋体" w:cs="宋体"/>
                <w:b w:val="0"/>
                <w:bCs w:val="0"/>
                <w:color w:val="auto"/>
                <w:sz w:val="24"/>
                <w:szCs w:val="24"/>
              </w:rPr>
              <w:t>时</w:t>
            </w:r>
            <w:r>
              <w:rPr>
                <w:rFonts w:hint="eastAsia" w:ascii="宋体" w:hAnsi="宋体" w:eastAsia="宋体" w:cs="宋体"/>
                <w:b w:val="0"/>
                <w:bCs w:val="0"/>
                <w:color w:val="auto"/>
                <w:sz w:val="24"/>
                <w:szCs w:val="24"/>
                <w:u w:val="single"/>
              </w:rPr>
              <w:t>3</w:t>
            </w:r>
            <w:r>
              <w:rPr>
                <w:rFonts w:ascii="宋体" w:hAnsi="宋体" w:eastAsia="宋体" w:cs="宋体"/>
                <w:b w:val="0"/>
                <w:bCs w:val="0"/>
                <w:color w:val="auto"/>
                <w:sz w:val="24"/>
                <w:szCs w:val="24"/>
                <w:u w:val="single"/>
              </w:rPr>
              <w:t>0</w:t>
            </w:r>
            <w:r>
              <w:rPr>
                <w:rFonts w:hint="eastAsia" w:ascii="宋体" w:hAnsi="宋体" w:eastAsia="宋体" w:cs="宋体"/>
                <w:b w:val="0"/>
                <w:bCs w:val="0"/>
                <w:color w:val="auto"/>
                <w:sz w:val="24"/>
                <w:szCs w:val="24"/>
              </w:rPr>
              <w:t>分前，在滁州市科学技术馆网站予以公告。</w:t>
            </w:r>
          </w:p>
        </w:tc>
      </w:tr>
      <w:tr w14:paraId="71DA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69" w:type="dxa"/>
            <w:vAlign w:val="center"/>
          </w:tcPr>
          <w:p w14:paraId="0F771CDD">
            <w:pPr>
              <w:pStyle w:val="48"/>
            </w:pPr>
            <w:r>
              <w:rPr>
                <w:rFonts w:hint="eastAsia"/>
              </w:rPr>
              <w:t>7.1</w:t>
            </w:r>
          </w:p>
        </w:tc>
        <w:tc>
          <w:tcPr>
            <w:tcW w:w="1506" w:type="dxa"/>
            <w:vAlign w:val="center"/>
          </w:tcPr>
          <w:p w14:paraId="7F37F2D3">
            <w:pPr>
              <w:pStyle w:val="47"/>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包别划分</w:t>
            </w:r>
          </w:p>
        </w:tc>
        <w:tc>
          <w:tcPr>
            <w:tcW w:w="7260" w:type="dxa"/>
            <w:vAlign w:val="center"/>
          </w:tcPr>
          <w:p w14:paraId="4DA2C00F">
            <w:pPr>
              <w:pStyle w:val="47"/>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bCs w:val="0"/>
                <w:color w:val="auto"/>
                <w:sz w:val="24"/>
                <w:szCs w:val="24"/>
              </w:rPr>
              <w:sym w:font="Wingdings" w:char="00FE"/>
            </w:r>
            <w:r>
              <w:rPr>
                <w:rFonts w:ascii="宋体" w:hAnsi="宋体" w:eastAsia="宋体"/>
                <w:b w:val="0"/>
                <w:color w:val="auto"/>
                <w:sz w:val="24"/>
              </w:rPr>
              <w:t xml:space="preserve">不分包 </w:t>
            </w:r>
          </w:p>
        </w:tc>
      </w:tr>
      <w:tr w14:paraId="5BA1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69" w:type="dxa"/>
            <w:vAlign w:val="center"/>
          </w:tcPr>
          <w:p w14:paraId="1701B478">
            <w:pPr>
              <w:pStyle w:val="48"/>
              <w:jc w:val="both"/>
            </w:pPr>
            <w:r>
              <w:rPr>
                <w:rFonts w:hint="eastAsia"/>
              </w:rPr>
              <w:t>10.1</w:t>
            </w:r>
          </w:p>
        </w:tc>
        <w:tc>
          <w:tcPr>
            <w:tcW w:w="1506" w:type="dxa"/>
            <w:vAlign w:val="center"/>
          </w:tcPr>
          <w:p w14:paraId="15B5A7FC">
            <w:pPr>
              <w:pStyle w:val="47"/>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磋商保证金</w:t>
            </w:r>
          </w:p>
        </w:tc>
        <w:tc>
          <w:tcPr>
            <w:tcW w:w="7260" w:type="dxa"/>
            <w:vAlign w:val="center"/>
          </w:tcPr>
          <w:p w14:paraId="2C229369">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不收取</w:t>
            </w:r>
          </w:p>
        </w:tc>
      </w:tr>
      <w:tr w14:paraId="27DA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9" w:type="dxa"/>
            <w:vAlign w:val="center"/>
          </w:tcPr>
          <w:p w14:paraId="1AE792D7">
            <w:pPr>
              <w:pStyle w:val="48"/>
            </w:pPr>
            <w:r>
              <w:rPr>
                <w:rFonts w:hint="eastAsia"/>
              </w:rPr>
              <w:t>11</w:t>
            </w:r>
            <w:r>
              <w:t>.1</w:t>
            </w:r>
          </w:p>
        </w:tc>
        <w:tc>
          <w:tcPr>
            <w:tcW w:w="1506" w:type="dxa"/>
            <w:vAlign w:val="center"/>
          </w:tcPr>
          <w:p w14:paraId="4655FC49">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磋商有效期</w:t>
            </w:r>
          </w:p>
        </w:tc>
        <w:tc>
          <w:tcPr>
            <w:tcW w:w="7260" w:type="dxa"/>
            <w:vAlign w:val="center"/>
          </w:tcPr>
          <w:p w14:paraId="0267338B">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 xml:space="preserve"> 90 </w:t>
            </w:r>
            <w:r>
              <w:rPr>
                <w:rFonts w:hint="eastAsia" w:ascii="宋体" w:hAnsi="宋体" w:eastAsia="宋体"/>
                <w:b w:val="0"/>
                <w:sz w:val="24"/>
              </w:rPr>
              <w:t>日历日</w:t>
            </w:r>
          </w:p>
        </w:tc>
      </w:tr>
      <w:tr w14:paraId="1A5D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4D732782">
            <w:pPr>
              <w:pStyle w:val="48"/>
            </w:pPr>
            <w:r>
              <w:rPr>
                <w:rFonts w:hint="eastAsia"/>
              </w:rPr>
              <w:t>12</w:t>
            </w:r>
            <w:r>
              <w:t>.</w:t>
            </w:r>
            <w:r>
              <w:rPr>
                <w:rFonts w:hint="eastAsia"/>
              </w:rPr>
              <w:t>3</w:t>
            </w:r>
          </w:p>
        </w:tc>
        <w:tc>
          <w:tcPr>
            <w:tcW w:w="1506" w:type="dxa"/>
            <w:vAlign w:val="center"/>
          </w:tcPr>
          <w:p w14:paraId="51E5184A">
            <w:pPr>
              <w:pStyle w:val="14"/>
              <w:spacing w:line="440" w:lineRule="exact"/>
              <w:jc w:val="left"/>
              <w:rPr>
                <w:rFonts w:hAnsi="宋体" w:eastAsia="宋体" w:cs="@仿宋_GB2312"/>
                <w:bCs/>
                <w:kern w:val="0"/>
                <w:sz w:val="24"/>
                <w:szCs w:val="28"/>
              </w:rPr>
            </w:pPr>
            <w:r>
              <w:rPr>
                <w:rFonts w:hint="eastAsia" w:hAnsi="宋体" w:eastAsia="宋体" w:cs="@仿宋_GB2312"/>
                <w:bCs/>
                <w:kern w:val="0"/>
                <w:sz w:val="24"/>
                <w:szCs w:val="28"/>
              </w:rPr>
              <w:t>响应文件数量</w:t>
            </w:r>
          </w:p>
        </w:tc>
        <w:tc>
          <w:tcPr>
            <w:tcW w:w="7260" w:type="dxa"/>
            <w:vAlign w:val="center"/>
          </w:tcPr>
          <w:p w14:paraId="4E34F648">
            <w:pPr>
              <w:pStyle w:val="14"/>
              <w:spacing w:line="440" w:lineRule="exact"/>
              <w:rPr>
                <w:rFonts w:hAnsi="宋体" w:eastAsia="宋体" w:cs="@仿宋_GB2312"/>
                <w:bCs/>
                <w:kern w:val="0"/>
                <w:sz w:val="24"/>
                <w:szCs w:val="28"/>
              </w:rPr>
            </w:pPr>
            <w:r>
              <w:rPr>
                <w:rFonts w:hint="eastAsia" w:hAnsi="宋体" w:eastAsia="宋体" w:cs="@仿宋_GB2312"/>
                <w:bCs/>
                <w:kern w:val="0"/>
                <w:sz w:val="24"/>
                <w:szCs w:val="28"/>
              </w:rPr>
              <w:t>纸质版响应文件，按要求签章（签字和盖章），否则经谈判小组一致认定后，按照无效响应处理；</w:t>
            </w:r>
          </w:p>
          <w:p w14:paraId="24E87507">
            <w:pPr>
              <w:pStyle w:val="14"/>
              <w:spacing w:line="440" w:lineRule="exact"/>
              <w:rPr>
                <w:rFonts w:hAnsi="宋体" w:eastAsia="宋体" w:cs="@仿宋_GB2312"/>
                <w:bCs/>
                <w:kern w:val="0"/>
                <w:sz w:val="24"/>
                <w:szCs w:val="28"/>
              </w:rPr>
            </w:pPr>
            <w:r>
              <w:rPr>
                <w:rFonts w:hint="eastAsia" w:hAnsi="宋体" w:eastAsia="宋体" w:cs="@仿宋_GB2312"/>
                <w:bCs/>
                <w:kern w:val="0"/>
                <w:sz w:val="24"/>
                <w:szCs w:val="28"/>
              </w:rPr>
              <w:t>份数：正本1份，副本2份；开标截止时间前递交给代理机构。</w:t>
            </w:r>
          </w:p>
        </w:tc>
      </w:tr>
      <w:tr w14:paraId="390C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1456D7FB">
            <w:pPr>
              <w:pStyle w:val="48"/>
            </w:pPr>
            <w:r>
              <w:rPr>
                <w:rFonts w:hint="eastAsia"/>
              </w:rPr>
              <w:t>1</w:t>
            </w:r>
            <w:r>
              <w:t>2.4</w:t>
            </w:r>
          </w:p>
        </w:tc>
        <w:tc>
          <w:tcPr>
            <w:tcW w:w="1506" w:type="dxa"/>
            <w:vAlign w:val="center"/>
          </w:tcPr>
          <w:p w14:paraId="2B1DD3FB">
            <w:pPr>
              <w:pStyle w:val="14"/>
              <w:spacing w:line="440" w:lineRule="exact"/>
              <w:jc w:val="left"/>
              <w:rPr>
                <w:rFonts w:hAnsi="宋体" w:eastAsia="宋体" w:cs="@仿宋_GB2312"/>
                <w:bCs/>
                <w:kern w:val="0"/>
                <w:sz w:val="24"/>
                <w:szCs w:val="28"/>
              </w:rPr>
            </w:pPr>
            <w:r>
              <w:rPr>
                <w:rFonts w:hint="eastAsia" w:hAnsi="宋体" w:eastAsia="宋体" w:cs="@仿宋_GB2312"/>
                <w:bCs/>
                <w:kern w:val="0"/>
                <w:sz w:val="24"/>
                <w:szCs w:val="28"/>
              </w:rPr>
              <w:t>具体密封要求</w:t>
            </w:r>
          </w:p>
        </w:tc>
        <w:tc>
          <w:tcPr>
            <w:tcW w:w="7260" w:type="dxa"/>
            <w:vAlign w:val="center"/>
          </w:tcPr>
          <w:p w14:paraId="5A8E2830">
            <w:pPr>
              <w:pStyle w:val="14"/>
              <w:spacing w:line="440" w:lineRule="exact"/>
              <w:rPr>
                <w:rFonts w:hAnsi="宋体" w:eastAsia="宋体"/>
                <w:bCs/>
                <w:kern w:val="0"/>
                <w:sz w:val="24"/>
                <w:szCs w:val="28"/>
              </w:rPr>
            </w:pPr>
            <w:r>
              <w:rPr>
                <w:rFonts w:hint="eastAsia" w:hAnsi="宋体" w:eastAsia="宋体"/>
                <w:bCs/>
                <w:kern w:val="0"/>
                <w:sz w:val="24"/>
                <w:szCs w:val="28"/>
              </w:rPr>
              <w:t>（1）资信证明文件、技术标、商务标（全部加盖公章）的密封袋应加盖投标人公章。</w:t>
            </w:r>
          </w:p>
          <w:p w14:paraId="2CF8537D">
            <w:pPr>
              <w:pStyle w:val="14"/>
              <w:spacing w:line="440" w:lineRule="exact"/>
              <w:rPr>
                <w:rFonts w:hAnsi="宋体" w:eastAsia="宋体"/>
                <w:bCs/>
                <w:kern w:val="0"/>
                <w:sz w:val="24"/>
                <w:szCs w:val="28"/>
              </w:rPr>
            </w:pPr>
            <w:r>
              <w:rPr>
                <w:rFonts w:hint="eastAsia" w:hAnsi="宋体" w:eastAsia="宋体"/>
                <w:bCs/>
                <w:kern w:val="0"/>
                <w:sz w:val="24"/>
                <w:szCs w:val="28"/>
              </w:rPr>
              <w:t>（2）投标人应提交三个密封袋，其中，资信证明文件正本、副本密封于资信证明文件标袋内；技术标正本、副本密封于技术标袋内；商务标正本、副本密封于商务标袋内。</w:t>
            </w:r>
          </w:p>
          <w:p w14:paraId="6C31BBD1">
            <w:pPr>
              <w:pStyle w:val="14"/>
              <w:spacing w:line="440" w:lineRule="exact"/>
              <w:rPr>
                <w:rFonts w:hAnsi="宋体" w:eastAsia="宋体"/>
                <w:bCs/>
                <w:kern w:val="0"/>
                <w:sz w:val="24"/>
                <w:szCs w:val="28"/>
              </w:rPr>
            </w:pPr>
            <w:r>
              <w:rPr>
                <w:rFonts w:hint="eastAsia" w:hAnsi="宋体" w:eastAsia="宋体"/>
                <w:bCs/>
                <w:kern w:val="0"/>
                <w:sz w:val="24"/>
                <w:szCs w:val="28"/>
              </w:rPr>
              <w:t>（3）所有投标文件的密封袋应在封口处加盖投标人公章；否则，该投标文件将被拒绝。</w:t>
            </w:r>
          </w:p>
          <w:p w14:paraId="287696ED">
            <w:pPr>
              <w:pStyle w:val="14"/>
              <w:spacing w:line="440" w:lineRule="exact"/>
              <w:rPr>
                <w:rFonts w:hAnsi="宋体" w:eastAsia="宋体" w:cs="@仿宋_GB2312"/>
                <w:bCs/>
                <w:kern w:val="0"/>
                <w:sz w:val="24"/>
                <w:szCs w:val="28"/>
              </w:rPr>
            </w:pPr>
            <w:r>
              <w:rPr>
                <w:rFonts w:hint="eastAsia" w:hAnsi="宋体" w:eastAsia="宋体" w:cs="@仿宋_GB2312"/>
                <w:bCs/>
                <w:kern w:val="0"/>
                <w:sz w:val="24"/>
                <w:szCs w:val="28"/>
              </w:rPr>
              <w:t>（4）投标文件的正本和副本应采用胶装或者订书机装订方式左侧装订，不得采用活页夹的可随时拆换的方式装订，不得有零散页。投标文件应按照“投标文件格式”的目录次序装订。</w:t>
            </w:r>
          </w:p>
        </w:tc>
      </w:tr>
      <w:tr w14:paraId="2A85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51BF3B65">
            <w:pPr>
              <w:pStyle w:val="48"/>
            </w:pPr>
            <w:r>
              <w:rPr>
                <w:rFonts w:hint="eastAsia"/>
              </w:rPr>
              <w:t>1</w:t>
            </w:r>
            <w:r>
              <w:t>2.5</w:t>
            </w:r>
          </w:p>
        </w:tc>
        <w:tc>
          <w:tcPr>
            <w:tcW w:w="1506" w:type="dxa"/>
            <w:vAlign w:val="center"/>
          </w:tcPr>
          <w:p w14:paraId="4D4D11CD">
            <w:pPr>
              <w:pStyle w:val="14"/>
              <w:spacing w:line="440" w:lineRule="exact"/>
              <w:jc w:val="left"/>
              <w:rPr>
                <w:rFonts w:hAnsi="宋体" w:eastAsia="宋体" w:cs="@仿宋_GB2312"/>
                <w:bCs/>
                <w:kern w:val="0"/>
                <w:sz w:val="24"/>
                <w:szCs w:val="28"/>
              </w:rPr>
            </w:pPr>
            <w:r>
              <w:rPr>
                <w:rFonts w:hint="eastAsia" w:hAnsi="宋体" w:eastAsia="宋体" w:cs="@仿宋_GB2312"/>
                <w:bCs/>
                <w:kern w:val="0"/>
                <w:sz w:val="24"/>
                <w:szCs w:val="28"/>
              </w:rPr>
              <w:t>密封条</w:t>
            </w:r>
            <w:r>
              <w:rPr>
                <w:rFonts w:hAnsi="宋体" w:eastAsia="宋体" w:cs="@仿宋_GB2312"/>
                <w:bCs/>
                <w:kern w:val="0"/>
                <w:sz w:val="24"/>
                <w:szCs w:val="28"/>
              </w:rPr>
              <w:t>上应载明的信息</w:t>
            </w:r>
          </w:p>
        </w:tc>
        <w:tc>
          <w:tcPr>
            <w:tcW w:w="7260" w:type="dxa"/>
            <w:vAlign w:val="center"/>
          </w:tcPr>
          <w:p w14:paraId="7DC2025E">
            <w:pPr>
              <w:pStyle w:val="14"/>
              <w:spacing w:line="440" w:lineRule="exact"/>
              <w:rPr>
                <w:rFonts w:hAnsi="宋体" w:eastAsia="宋体"/>
                <w:bCs/>
                <w:kern w:val="0"/>
                <w:sz w:val="24"/>
                <w:szCs w:val="28"/>
              </w:rPr>
            </w:pPr>
            <w:r>
              <w:rPr>
                <w:rFonts w:hint="eastAsia" w:hAnsi="宋体" w:eastAsia="宋体"/>
                <w:bCs/>
                <w:kern w:val="0"/>
                <w:sz w:val="24"/>
                <w:szCs w:val="28"/>
              </w:rPr>
              <w:t>项目</w:t>
            </w:r>
            <w:r>
              <w:rPr>
                <w:rFonts w:hAnsi="宋体" w:eastAsia="宋体"/>
                <w:bCs/>
                <w:kern w:val="0"/>
                <w:sz w:val="24"/>
                <w:szCs w:val="28"/>
              </w:rPr>
              <w:t>名称：</w:t>
            </w:r>
            <w:r>
              <w:rPr>
                <w:rFonts w:hint="eastAsia" w:hAnsi="宋体" w:eastAsia="宋体"/>
                <w:bCs/>
                <w:kern w:val="0"/>
                <w:sz w:val="24"/>
                <w:szCs w:val="28"/>
              </w:rPr>
              <w:t>*</w:t>
            </w:r>
            <w:r>
              <w:rPr>
                <w:rFonts w:hAnsi="宋体" w:eastAsia="宋体"/>
                <w:bCs/>
                <w:kern w:val="0"/>
                <w:sz w:val="24"/>
                <w:szCs w:val="28"/>
              </w:rPr>
              <w:t>*</w:t>
            </w:r>
            <w:r>
              <w:rPr>
                <w:rFonts w:hint="eastAsia" w:hAnsi="宋体" w:eastAsia="宋体"/>
                <w:bCs/>
                <w:kern w:val="0"/>
                <w:sz w:val="24"/>
                <w:szCs w:val="28"/>
              </w:rPr>
              <w:t>项目-资格/技术/商务文件</w:t>
            </w:r>
          </w:p>
          <w:p w14:paraId="39183018">
            <w:pPr>
              <w:pStyle w:val="14"/>
              <w:spacing w:line="440" w:lineRule="exact"/>
              <w:rPr>
                <w:rFonts w:hAnsi="宋体" w:eastAsia="宋体"/>
                <w:bCs/>
                <w:kern w:val="0"/>
                <w:sz w:val="24"/>
                <w:szCs w:val="28"/>
              </w:rPr>
            </w:pPr>
            <w:r>
              <w:rPr>
                <w:rFonts w:hint="eastAsia" w:hAnsi="宋体" w:eastAsia="宋体"/>
                <w:bCs/>
                <w:kern w:val="0"/>
                <w:sz w:val="24"/>
                <w:szCs w:val="28"/>
              </w:rPr>
              <w:t>供应商</w:t>
            </w:r>
            <w:r>
              <w:rPr>
                <w:rFonts w:hAnsi="宋体" w:eastAsia="宋体"/>
                <w:bCs/>
                <w:kern w:val="0"/>
                <w:sz w:val="24"/>
                <w:szCs w:val="28"/>
              </w:rPr>
              <w:t>名称</w:t>
            </w:r>
            <w:r>
              <w:rPr>
                <w:rFonts w:hint="eastAsia" w:hAnsi="宋体" w:eastAsia="宋体"/>
                <w:bCs/>
                <w:kern w:val="0"/>
                <w:sz w:val="24"/>
                <w:szCs w:val="28"/>
              </w:rPr>
              <w:t>（盖公章）</w:t>
            </w:r>
            <w:r>
              <w:rPr>
                <w:rFonts w:hAnsi="宋体" w:eastAsia="宋体"/>
                <w:bCs/>
                <w:kern w:val="0"/>
                <w:sz w:val="24"/>
                <w:szCs w:val="28"/>
              </w:rPr>
              <w:t>：</w:t>
            </w:r>
          </w:p>
          <w:p w14:paraId="2C0D35DE">
            <w:pPr>
              <w:pStyle w:val="14"/>
              <w:spacing w:line="440" w:lineRule="exact"/>
              <w:rPr>
                <w:rFonts w:hAnsi="宋体" w:eastAsia="宋体"/>
                <w:bCs/>
                <w:kern w:val="0"/>
                <w:sz w:val="24"/>
                <w:szCs w:val="28"/>
              </w:rPr>
            </w:pPr>
            <w:r>
              <w:rPr>
                <w:rFonts w:hint="eastAsia" w:hAnsi="宋体" w:eastAsia="宋体"/>
                <w:bCs/>
                <w:kern w:val="0"/>
                <w:sz w:val="24"/>
                <w:szCs w:val="28"/>
              </w:rPr>
              <w:t>供应商法定代表人或委托代理人（签章或盖章）</w:t>
            </w:r>
            <w:r>
              <w:rPr>
                <w:rFonts w:hAnsi="宋体" w:eastAsia="宋体"/>
                <w:bCs/>
                <w:kern w:val="0"/>
                <w:sz w:val="24"/>
                <w:szCs w:val="28"/>
              </w:rPr>
              <w:t>：</w:t>
            </w:r>
          </w:p>
          <w:p w14:paraId="63AC5677">
            <w:pPr>
              <w:pStyle w:val="14"/>
              <w:spacing w:line="440" w:lineRule="exact"/>
              <w:rPr>
                <w:rFonts w:hAnsi="宋体" w:eastAsia="宋体"/>
                <w:bCs/>
                <w:kern w:val="0"/>
                <w:sz w:val="24"/>
                <w:szCs w:val="28"/>
              </w:rPr>
            </w:pPr>
            <w:r>
              <w:rPr>
                <w:rFonts w:hAnsi="宋体" w:eastAsia="宋体"/>
                <w:bCs/>
                <w:kern w:val="0"/>
                <w:sz w:val="24"/>
                <w:szCs w:val="28"/>
              </w:rPr>
              <w:t>在</w:t>
            </w:r>
            <w:r>
              <w:rPr>
                <w:rFonts w:hint="eastAsia" w:hAnsi="宋体" w:eastAsia="宋体"/>
                <w:bCs/>
                <w:kern w:val="0"/>
                <w:sz w:val="24"/>
                <w:szCs w:val="28"/>
              </w:rPr>
              <w:t>2024年08月</w:t>
            </w:r>
            <w:r>
              <w:rPr>
                <w:rFonts w:hAnsi="宋体" w:eastAsia="宋体"/>
                <w:bCs/>
                <w:kern w:val="0"/>
                <w:sz w:val="24"/>
                <w:szCs w:val="28"/>
              </w:rPr>
              <w:t>1</w:t>
            </w:r>
            <w:r>
              <w:rPr>
                <w:rFonts w:hint="eastAsia" w:hAnsi="宋体" w:eastAsia="宋体"/>
                <w:bCs/>
                <w:kern w:val="0"/>
                <w:sz w:val="24"/>
                <w:szCs w:val="28"/>
                <w:lang w:val="en-US" w:eastAsia="zh-CN"/>
              </w:rPr>
              <w:t>6</w:t>
            </w:r>
            <w:r>
              <w:rPr>
                <w:rFonts w:hint="eastAsia" w:hAnsi="宋体" w:eastAsia="宋体"/>
                <w:bCs/>
                <w:kern w:val="0"/>
                <w:sz w:val="24"/>
                <w:szCs w:val="28"/>
              </w:rPr>
              <w:t>日</w:t>
            </w:r>
            <w:r>
              <w:rPr>
                <w:rFonts w:hAnsi="宋体" w:eastAsia="宋体"/>
                <w:bCs/>
                <w:kern w:val="0"/>
                <w:sz w:val="24"/>
                <w:szCs w:val="28"/>
              </w:rPr>
              <w:t>0</w:t>
            </w:r>
            <w:r>
              <w:rPr>
                <w:rFonts w:hint="eastAsia" w:hAnsi="宋体" w:eastAsia="宋体"/>
                <w:bCs/>
                <w:kern w:val="0"/>
                <w:sz w:val="24"/>
                <w:szCs w:val="28"/>
                <w:lang w:val="en-US" w:eastAsia="zh-CN"/>
              </w:rPr>
              <w:t>9</w:t>
            </w:r>
            <w:r>
              <w:rPr>
                <w:rFonts w:hint="eastAsia" w:hAnsi="宋体" w:eastAsia="宋体"/>
                <w:bCs/>
                <w:kern w:val="0"/>
                <w:sz w:val="24"/>
                <w:szCs w:val="28"/>
              </w:rPr>
              <w:t>点00分</w:t>
            </w:r>
            <w:r>
              <w:rPr>
                <w:rFonts w:hAnsi="宋体" w:eastAsia="宋体"/>
                <w:bCs/>
                <w:kern w:val="0"/>
                <w:sz w:val="24"/>
                <w:szCs w:val="28"/>
              </w:rPr>
              <w:t>前不得开启</w:t>
            </w:r>
          </w:p>
        </w:tc>
      </w:tr>
      <w:tr w14:paraId="32CB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6CB62D24">
            <w:pPr>
              <w:pStyle w:val="48"/>
            </w:pPr>
            <w:r>
              <w:rPr>
                <w:rFonts w:hint="eastAsia"/>
              </w:rPr>
              <w:t>13.1</w:t>
            </w:r>
          </w:p>
        </w:tc>
        <w:tc>
          <w:tcPr>
            <w:tcW w:w="1506" w:type="dxa"/>
            <w:vAlign w:val="center"/>
          </w:tcPr>
          <w:p w14:paraId="7B652DC2">
            <w:pPr>
              <w:spacing w:line="440" w:lineRule="exact"/>
              <w:jc w:val="left"/>
              <w:rPr>
                <w:rFonts w:ascii="宋体" w:hAnsi="宋体" w:eastAsia="宋体"/>
                <w:bCs/>
                <w:kern w:val="0"/>
                <w:sz w:val="24"/>
                <w:szCs w:val="28"/>
              </w:rPr>
            </w:pPr>
            <w:r>
              <w:rPr>
                <w:rFonts w:hint="eastAsia" w:ascii="宋体" w:hAnsi="宋体" w:eastAsia="宋体"/>
                <w:bCs/>
                <w:kern w:val="0"/>
                <w:sz w:val="24"/>
                <w:szCs w:val="28"/>
              </w:rPr>
              <w:t>响应文件开启时间及地点</w:t>
            </w:r>
          </w:p>
        </w:tc>
        <w:tc>
          <w:tcPr>
            <w:tcW w:w="7260" w:type="dxa"/>
            <w:vAlign w:val="center"/>
          </w:tcPr>
          <w:p w14:paraId="2CF333CB">
            <w:pPr>
              <w:spacing w:line="440" w:lineRule="exact"/>
              <w:rPr>
                <w:rFonts w:ascii="宋体" w:hAnsi="宋体" w:eastAsia="宋体"/>
                <w:bCs/>
                <w:kern w:val="0"/>
                <w:sz w:val="24"/>
                <w:szCs w:val="28"/>
              </w:rPr>
            </w:pPr>
            <w:r>
              <w:rPr>
                <w:rFonts w:hint="eastAsia" w:ascii="宋体" w:hAnsi="宋体" w:eastAsia="宋体"/>
                <w:bCs/>
                <w:kern w:val="0"/>
                <w:sz w:val="24"/>
                <w:szCs w:val="28"/>
              </w:rPr>
              <w:t>响应文件提交截止时间：2024年08月</w:t>
            </w:r>
            <w:r>
              <w:rPr>
                <w:rFonts w:ascii="宋体" w:hAnsi="宋体" w:eastAsia="宋体"/>
                <w:bCs/>
                <w:kern w:val="0"/>
                <w:sz w:val="24"/>
                <w:szCs w:val="28"/>
              </w:rPr>
              <w:t>1</w:t>
            </w:r>
            <w:r>
              <w:rPr>
                <w:rFonts w:hint="eastAsia" w:ascii="宋体" w:hAnsi="宋体" w:eastAsia="宋体"/>
                <w:bCs/>
                <w:kern w:val="0"/>
                <w:sz w:val="24"/>
                <w:szCs w:val="28"/>
                <w:lang w:val="en-US" w:eastAsia="zh-CN"/>
              </w:rPr>
              <w:t>6</w:t>
            </w:r>
            <w:r>
              <w:rPr>
                <w:rFonts w:hint="eastAsia" w:ascii="宋体" w:hAnsi="宋体" w:eastAsia="宋体"/>
                <w:bCs/>
                <w:kern w:val="0"/>
                <w:sz w:val="24"/>
                <w:szCs w:val="28"/>
              </w:rPr>
              <w:t>日</w:t>
            </w:r>
            <w:r>
              <w:rPr>
                <w:rFonts w:ascii="宋体" w:hAnsi="宋体" w:eastAsia="宋体"/>
                <w:bCs/>
                <w:kern w:val="0"/>
                <w:sz w:val="24"/>
                <w:szCs w:val="28"/>
              </w:rPr>
              <w:t>0</w:t>
            </w:r>
            <w:r>
              <w:rPr>
                <w:rFonts w:hint="eastAsia" w:ascii="宋体" w:hAnsi="宋体" w:eastAsia="宋体"/>
                <w:bCs/>
                <w:kern w:val="0"/>
                <w:sz w:val="24"/>
                <w:szCs w:val="28"/>
                <w:lang w:val="en-US" w:eastAsia="zh-CN"/>
              </w:rPr>
              <w:t>9</w:t>
            </w:r>
            <w:r>
              <w:rPr>
                <w:rFonts w:hint="eastAsia" w:ascii="宋体" w:hAnsi="宋体" w:eastAsia="宋体"/>
                <w:bCs/>
                <w:kern w:val="0"/>
                <w:sz w:val="24"/>
                <w:szCs w:val="28"/>
              </w:rPr>
              <w:t>点00分。</w:t>
            </w:r>
          </w:p>
          <w:p w14:paraId="299D7F3F">
            <w:pPr>
              <w:spacing w:line="440" w:lineRule="exact"/>
              <w:rPr>
                <w:rFonts w:ascii="宋体" w:hAnsi="宋体" w:eastAsia="宋体"/>
                <w:bCs/>
                <w:kern w:val="0"/>
                <w:sz w:val="24"/>
                <w:szCs w:val="28"/>
              </w:rPr>
            </w:pPr>
            <w:r>
              <w:rPr>
                <w:rFonts w:hint="eastAsia" w:ascii="宋体" w:hAnsi="宋体" w:eastAsia="宋体"/>
                <w:bCs/>
                <w:kern w:val="0"/>
                <w:sz w:val="24"/>
                <w:szCs w:val="28"/>
              </w:rPr>
              <w:t>注：逾期提交的，响应文件将被拒绝。</w:t>
            </w:r>
          </w:p>
          <w:p w14:paraId="27D4C0A1">
            <w:pPr>
              <w:spacing w:line="440" w:lineRule="exact"/>
              <w:rPr>
                <w:rFonts w:ascii="宋体" w:hAnsi="宋体" w:eastAsia="宋体"/>
                <w:bCs/>
                <w:kern w:val="0"/>
                <w:sz w:val="24"/>
                <w:szCs w:val="28"/>
              </w:rPr>
            </w:pPr>
            <w:r>
              <w:rPr>
                <w:rFonts w:hint="eastAsia" w:ascii="宋体" w:hAnsi="宋体" w:eastAsia="宋体"/>
                <w:bCs/>
                <w:kern w:val="0"/>
                <w:sz w:val="24"/>
                <w:szCs w:val="28"/>
              </w:rPr>
              <w:t>响应文件开启地点：滁州市科学技术馆四楼会议室 (中都大道与同乐路交叉路口政务中心西北滁州市科学技术馆）</w:t>
            </w:r>
          </w:p>
        </w:tc>
      </w:tr>
      <w:tr w14:paraId="5170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5BE98385">
            <w:pPr>
              <w:pStyle w:val="48"/>
            </w:pPr>
            <w:r>
              <w:rPr>
                <w:rFonts w:hint="eastAsia"/>
              </w:rPr>
              <w:t>13.2</w:t>
            </w:r>
          </w:p>
        </w:tc>
        <w:tc>
          <w:tcPr>
            <w:tcW w:w="1506" w:type="dxa"/>
            <w:vAlign w:val="center"/>
          </w:tcPr>
          <w:p w14:paraId="3BFAED5A">
            <w:pPr>
              <w:spacing w:line="440" w:lineRule="exact"/>
              <w:rPr>
                <w:rFonts w:ascii="宋体" w:hAnsi="宋体" w:eastAsia="宋体"/>
                <w:bCs/>
                <w:kern w:val="0"/>
                <w:sz w:val="24"/>
                <w:szCs w:val="28"/>
              </w:rPr>
            </w:pPr>
            <w:r>
              <w:rPr>
                <w:rFonts w:hint="eastAsia" w:ascii="宋体" w:hAnsi="宋体" w:eastAsia="宋体"/>
                <w:bCs/>
                <w:kern w:val="0"/>
                <w:sz w:val="24"/>
                <w:szCs w:val="28"/>
              </w:rPr>
              <w:t>是否退还响应文件</w:t>
            </w:r>
          </w:p>
        </w:tc>
        <w:tc>
          <w:tcPr>
            <w:tcW w:w="7260" w:type="dxa"/>
            <w:vAlign w:val="center"/>
          </w:tcPr>
          <w:p w14:paraId="436857BC">
            <w:pPr>
              <w:spacing w:line="440" w:lineRule="exact"/>
              <w:rPr>
                <w:rFonts w:ascii="宋体" w:hAnsi="宋体" w:eastAsia="宋体"/>
                <w:bCs/>
                <w:kern w:val="0"/>
                <w:sz w:val="24"/>
                <w:szCs w:val="28"/>
              </w:rPr>
            </w:pPr>
            <w:r>
              <w:rPr>
                <w:rFonts w:hint="eastAsia" w:ascii="宋体" w:hAnsi="宋体" w:eastAsia="宋体"/>
                <w:bCs/>
                <w:kern w:val="0"/>
                <w:sz w:val="24"/>
                <w:szCs w:val="28"/>
              </w:rPr>
              <w:t>☑否；□是</w:t>
            </w:r>
          </w:p>
        </w:tc>
      </w:tr>
      <w:tr w14:paraId="1265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9" w:type="dxa"/>
            <w:vAlign w:val="center"/>
          </w:tcPr>
          <w:p w14:paraId="32A56EB3">
            <w:pPr>
              <w:pStyle w:val="48"/>
            </w:pPr>
            <w:r>
              <w:rPr>
                <w:rFonts w:hint="eastAsia"/>
              </w:rPr>
              <w:t>14.2</w:t>
            </w:r>
          </w:p>
        </w:tc>
        <w:tc>
          <w:tcPr>
            <w:tcW w:w="1506" w:type="dxa"/>
            <w:vAlign w:val="center"/>
          </w:tcPr>
          <w:p w14:paraId="2ADDD33C">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评审方法</w:t>
            </w:r>
          </w:p>
        </w:tc>
        <w:tc>
          <w:tcPr>
            <w:tcW w:w="7260" w:type="dxa"/>
            <w:vAlign w:val="center"/>
          </w:tcPr>
          <w:p w14:paraId="41B25C86">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综合评分法</w:t>
            </w:r>
          </w:p>
        </w:tc>
      </w:tr>
      <w:tr w14:paraId="4526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9" w:type="dxa"/>
            <w:vAlign w:val="center"/>
          </w:tcPr>
          <w:p w14:paraId="07DB251C">
            <w:pPr>
              <w:pStyle w:val="48"/>
            </w:pPr>
            <w:r>
              <w:rPr>
                <w:rFonts w:hint="eastAsia"/>
              </w:rPr>
              <w:t>17.4</w:t>
            </w:r>
          </w:p>
        </w:tc>
        <w:tc>
          <w:tcPr>
            <w:tcW w:w="1506" w:type="dxa"/>
            <w:vAlign w:val="center"/>
          </w:tcPr>
          <w:p w14:paraId="1F8311A4">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最后报价扣除</w:t>
            </w:r>
          </w:p>
        </w:tc>
        <w:tc>
          <w:tcPr>
            <w:tcW w:w="7260" w:type="dxa"/>
            <w:vAlign w:val="center"/>
          </w:tcPr>
          <w:p w14:paraId="03941E24">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w:t>
            </w:r>
            <w:r>
              <w:rPr>
                <w:rFonts w:ascii="宋体" w:hAnsi="宋体" w:eastAsia="宋体"/>
                <w:b w:val="0"/>
                <w:sz w:val="24"/>
              </w:rPr>
              <w:t>小型和微型</w:t>
            </w:r>
            <w:r>
              <w:rPr>
                <w:rFonts w:hint="eastAsia" w:ascii="宋体" w:hAnsi="宋体" w:eastAsia="宋体"/>
                <w:b w:val="0"/>
                <w:sz w:val="24"/>
              </w:rPr>
              <w:t>企业价格扣除：</w:t>
            </w:r>
            <w:r>
              <w:rPr>
                <w:rFonts w:hint="eastAsia" w:ascii="宋体" w:hAnsi="宋体" w:eastAsia="宋体"/>
                <w:b w:val="0"/>
                <w:sz w:val="24"/>
                <w:u w:val="single"/>
              </w:rPr>
              <w:t xml:space="preserve"> /  </w:t>
            </w:r>
            <w:r>
              <w:rPr>
                <w:rFonts w:hint="eastAsia" w:ascii="宋体" w:hAnsi="宋体" w:eastAsia="宋体"/>
                <w:b w:val="0"/>
                <w:sz w:val="24"/>
              </w:rPr>
              <w:t>。</w:t>
            </w:r>
          </w:p>
          <w:p w14:paraId="03C58707">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（2）监狱企业价格扣除：同</w:t>
            </w:r>
            <w:r>
              <w:rPr>
                <w:rFonts w:ascii="宋体" w:hAnsi="宋体" w:eastAsia="宋体"/>
                <w:b w:val="0"/>
                <w:sz w:val="24"/>
              </w:rPr>
              <w:t>小型和微型企业</w:t>
            </w:r>
            <w:r>
              <w:rPr>
                <w:rFonts w:hint="eastAsia" w:ascii="宋体" w:hAnsi="宋体" w:eastAsia="宋体"/>
                <w:b w:val="0"/>
                <w:sz w:val="24"/>
              </w:rPr>
              <w:t>。</w:t>
            </w:r>
          </w:p>
          <w:p w14:paraId="6B5B9B6F">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（3）残疾人福利性单位价格扣除：同</w:t>
            </w:r>
            <w:r>
              <w:rPr>
                <w:rFonts w:ascii="宋体" w:hAnsi="宋体" w:eastAsia="宋体"/>
                <w:b w:val="0"/>
                <w:sz w:val="24"/>
              </w:rPr>
              <w:t>小型和微型企业</w:t>
            </w:r>
            <w:r>
              <w:rPr>
                <w:rFonts w:hint="eastAsia" w:ascii="宋体" w:hAnsi="宋体" w:eastAsia="宋体"/>
                <w:b w:val="0"/>
                <w:sz w:val="24"/>
              </w:rPr>
              <w:t>。</w:t>
            </w:r>
          </w:p>
          <w:p w14:paraId="72E79A5B">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（4）符合条件的联合体价格扣除：</w:t>
            </w:r>
            <w:r>
              <w:rPr>
                <w:rFonts w:hint="eastAsia" w:ascii="宋体" w:hAnsi="宋体" w:eastAsia="宋体"/>
                <w:b w:val="0"/>
                <w:sz w:val="24"/>
                <w:u w:val="single"/>
              </w:rPr>
              <w:t xml:space="preserve"> /  </w:t>
            </w:r>
            <w:r>
              <w:rPr>
                <w:rFonts w:hint="eastAsia" w:ascii="宋体" w:hAnsi="宋体" w:eastAsia="宋体"/>
                <w:b w:val="0"/>
                <w:sz w:val="24"/>
              </w:rPr>
              <w:t>。</w:t>
            </w:r>
          </w:p>
          <w:p w14:paraId="2DD2EAAD">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（5）符合条件的向小微企业分包的大中型企业价格扣除：</w:t>
            </w:r>
            <w:r>
              <w:rPr>
                <w:rFonts w:hint="eastAsia" w:ascii="宋体" w:hAnsi="宋体" w:eastAsia="宋体"/>
                <w:b w:val="0"/>
                <w:sz w:val="24"/>
                <w:u w:val="single"/>
              </w:rPr>
              <w:t xml:space="preserve"> /  </w:t>
            </w:r>
            <w:r>
              <w:rPr>
                <w:rFonts w:hint="eastAsia" w:ascii="宋体" w:hAnsi="宋体" w:eastAsia="宋体"/>
                <w:b w:val="0"/>
                <w:sz w:val="24"/>
              </w:rPr>
              <w:t>。</w:t>
            </w:r>
          </w:p>
        </w:tc>
      </w:tr>
      <w:tr w14:paraId="5817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9" w:type="dxa"/>
            <w:vMerge w:val="restart"/>
            <w:vAlign w:val="center"/>
          </w:tcPr>
          <w:p w14:paraId="071005AE">
            <w:pPr>
              <w:pStyle w:val="48"/>
            </w:pPr>
            <w:r>
              <w:rPr>
                <w:rFonts w:hint="eastAsia"/>
              </w:rPr>
              <w:t>19</w:t>
            </w:r>
            <w:r>
              <w:t>.</w:t>
            </w:r>
            <w:r>
              <w:rPr>
                <w:rFonts w:hint="eastAsia"/>
              </w:rPr>
              <w:t>1</w:t>
            </w:r>
          </w:p>
        </w:tc>
        <w:tc>
          <w:tcPr>
            <w:tcW w:w="1506" w:type="dxa"/>
            <w:vMerge w:val="restart"/>
            <w:vAlign w:val="center"/>
          </w:tcPr>
          <w:p w14:paraId="05095AA0">
            <w:pPr>
              <w:pStyle w:val="47"/>
              <w:widowControl w:val="0"/>
              <w:spacing w:before="0" w:beforeAutospacing="0" w:after="0" w:afterAutospacing="0" w:line="360" w:lineRule="auto"/>
              <w:jc w:val="both"/>
              <w:rPr>
                <w:rFonts w:ascii="宋体" w:hAnsi="宋体" w:eastAsia="宋体"/>
                <w:b w:val="0"/>
                <w:sz w:val="24"/>
              </w:rPr>
            </w:pPr>
            <w:r>
              <w:rPr>
                <w:rFonts w:hint="eastAsia" w:asciiTheme="minorEastAsia" w:hAnsiTheme="minorEastAsia" w:eastAsiaTheme="minorEastAsia"/>
                <w:b w:val="0"/>
                <w:sz w:val="24"/>
              </w:rPr>
              <w:t>确定成交候选供应商和成交供应商</w:t>
            </w:r>
          </w:p>
        </w:tc>
        <w:tc>
          <w:tcPr>
            <w:tcW w:w="7260" w:type="dxa"/>
            <w:vAlign w:val="center"/>
          </w:tcPr>
          <w:p w14:paraId="57D7AE18">
            <w:pPr>
              <w:pStyle w:val="47"/>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磋商小组推荐成交</w:t>
            </w:r>
            <w:r>
              <w:rPr>
                <w:rFonts w:ascii="宋体" w:hAnsi="宋体" w:eastAsia="宋体"/>
                <w:b w:val="0"/>
                <w:sz w:val="24"/>
              </w:rPr>
              <w:t>候选</w:t>
            </w:r>
            <w:r>
              <w:rPr>
                <w:rFonts w:hint="eastAsia" w:ascii="宋体" w:hAnsi="宋体" w:eastAsia="宋体"/>
                <w:b w:val="0"/>
                <w:sz w:val="24"/>
              </w:rPr>
              <w:t>供应商的</w:t>
            </w:r>
            <w:r>
              <w:rPr>
                <w:rFonts w:ascii="宋体" w:hAnsi="宋体" w:eastAsia="宋体"/>
                <w:b w:val="0"/>
                <w:sz w:val="24"/>
              </w:rPr>
              <w:t>数</w:t>
            </w:r>
            <w:r>
              <w:rPr>
                <w:rFonts w:hint="eastAsia" w:ascii="宋体" w:hAnsi="宋体" w:eastAsia="宋体"/>
                <w:b w:val="0"/>
                <w:sz w:val="24"/>
              </w:rPr>
              <w:t>量：</w:t>
            </w:r>
            <w:r>
              <w:rPr>
                <w:rFonts w:ascii="宋体" w:hAnsi="宋体" w:eastAsia="宋体"/>
                <w:b w:val="0"/>
                <w:sz w:val="24"/>
              </w:rPr>
              <w:t>1</w:t>
            </w:r>
            <w:r>
              <w:rPr>
                <w:rFonts w:hint="eastAsia" w:ascii="宋体" w:hAnsi="宋体" w:eastAsia="宋体"/>
                <w:b w:val="0"/>
                <w:sz w:val="24"/>
              </w:rPr>
              <w:t>名</w:t>
            </w:r>
          </w:p>
          <w:p w14:paraId="05F2C500">
            <w:pPr>
              <w:pStyle w:val="47"/>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注：法律、法规另有规定的，从其规定</w:t>
            </w:r>
          </w:p>
        </w:tc>
      </w:tr>
      <w:tr w14:paraId="62C6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9" w:type="dxa"/>
            <w:vMerge w:val="continue"/>
            <w:vAlign w:val="center"/>
          </w:tcPr>
          <w:p w14:paraId="6064E7CF">
            <w:pPr>
              <w:pStyle w:val="48"/>
            </w:pPr>
          </w:p>
        </w:tc>
        <w:tc>
          <w:tcPr>
            <w:tcW w:w="1506" w:type="dxa"/>
            <w:vMerge w:val="continue"/>
            <w:vAlign w:val="center"/>
          </w:tcPr>
          <w:p w14:paraId="435FBB61">
            <w:pPr>
              <w:pStyle w:val="47"/>
              <w:widowControl w:val="0"/>
              <w:spacing w:before="0" w:beforeAutospacing="0" w:after="0" w:afterAutospacing="0" w:line="360" w:lineRule="auto"/>
              <w:jc w:val="both"/>
              <w:rPr>
                <w:rFonts w:ascii="宋体" w:hAnsi="宋体" w:eastAsia="宋体"/>
                <w:b w:val="0"/>
                <w:sz w:val="24"/>
              </w:rPr>
            </w:pPr>
          </w:p>
        </w:tc>
        <w:tc>
          <w:tcPr>
            <w:tcW w:w="7260" w:type="dxa"/>
            <w:vAlign w:val="center"/>
          </w:tcPr>
          <w:p w14:paraId="112A4C54">
            <w:pPr>
              <w:pStyle w:val="47"/>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确定成交供应商：</w:t>
            </w:r>
          </w:p>
          <w:p w14:paraId="7F5F8DBC">
            <w:pPr>
              <w:pStyle w:val="47"/>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color w:val="auto"/>
                <w:sz w:val="24"/>
              </w:rPr>
              <w:sym w:font="Wingdings" w:char="00FE"/>
            </w:r>
            <w:r>
              <w:rPr>
                <w:rFonts w:hint="eastAsia" w:ascii="宋体" w:hAnsi="宋体" w:eastAsia="宋体"/>
                <w:b w:val="0"/>
                <w:color w:val="auto"/>
                <w:sz w:val="24"/>
              </w:rPr>
              <w:t xml:space="preserve">采购人委托磋商小组确定 </w:t>
            </w:r>
            <w:r>
              <w:rPr>
                <w:rFonts w:ascii="宋体" w:hAnsi="宋体" w:eastAsia="宋体"/>
                <w:b w:val="0"/>
                <w:color w:val="auto"/>
                <w:sz w:val="24"/>
              </w:rPr>
              <w:t xml:space="preserve">   </w:t>
            </w:r>
            <w:r>
              <w:rPr>
                <w:rFonts w:hint="eastAsia" w:ascii="宋体" w:hAnsi="宋体" w:eastAsia="宋体"/>
                <w:b w:val="0"/>
                <w:color w:val="auto"/>
                <w:sz w:val="24"/>
              </w:rPr>
              <w:t xml:space="preserve"> </w:t>
            </w:r>
            <w:r>
              <w:rPr>
                <w:rFonts w:hint="eastAsia" w:ascii="宋体" w:hAnsi="宋体" w:eastAsia="宋体"/>
                <w:b w:val="0"/>
                <w:bCs w:val="0"/>
                <w:color w:val="auto"/>
                <w:sz w:val="24"/>
                <w:szCs w:val="24"/>
              </w:rPr>
              <w:sym w:font="Wingdings" w:char="00A8"/>
            </w:r>
            <w:r>
              <w:rPr>
                <w:rFonts w:hint="eastAsia" w:ascii="宋体" w:hAnsi="宋体" w:eastAsia="宋体"/>
                <w:b w:val="0"/>
                <w:color w:val="auto"/>
                <w:sz w:val="24"/>
              </w:rPr>
              <w:t>采购人确定</w:t>
            </w:r>
          </w:p>
        </w:tc>
      </w:tr>
      <w:tr w14:paraId="2B53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9" w:type="dxa"/>
            <w:vAlign w:val="center"/>
          </w:tcPr>
          <w:p w14:paraId="48A82126">
            <w:pPr>
              <w:pStyle w:val="48"/>
            </w:pPr>
            <w:r>
              <w:rPr>
                <w:rFonts w:hint="eastAsia"/>
              </w:rPr>
              <w:t>22</w:t>
            </w:r>
            <w:r>
              <w:t>.</w:t>
            </w:r>
            <w:r>
              <w:rPr>
                <w:rFonts w:hint="eastAsia"/>
              </w:rPr>
              <w:t>2</w:t>
            </w:r>
          </w:p>
        </w:tc>
        <w:tc>
          <w:tcPr>
            <w:tcW w:w="1506" w:type="dxa"/>
            <w:vAlign w:val="center"/>
          </w:tcPr>
          <w:p w14:paraId="1AF3E624">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随成交结果公告同时公告的内容</w:t>
            </w:r>
          </w:p>
        </w:tc>
        <w:tc>
          <w:tcPr>
            <w:tcW w:w="7260" w:type="dxa"/>
            <w:vAlign w:val="center"/>
          </w:tcPr>
          <w:p w14:paraId="70AAB0E4">
            <w:pPr>
              <w:pStyle w:val="47"/>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（1）中小企业声明函；</w:t>
            </w:r>
          </w:p>
          <w:p w14:paraId="231CDCA7">
            <w:pPr>
              <w:pStyle w:val="47"/>
              <w:widowControl w:val="0"/>
              <w:spacing w:before="0" w:beforeAutospacing="0" w:after="0" w:afterAutospacing="0" w:line="360" w:lineRule="auto"/>
              <w:jc w:val="both"/>
              <w:rPr>
                <w:rFonts w:ascii="宋体" w:hAnsi="宋体" w:eastAsia="宋体"/>
                <w:b w:val="0"/>
                <w:i/>
                <w:color w:val="auto"/>
                <w:sz w:val="24"/>
              </w:rPr>
            </w:pPr>
            <w:r>
              <w:rPr>
                <w:rFonts w:hint="eastAsia" w:ascii="宋体" w:hAnsi="宋体" w:eastAsia="宋体"/>
                <w:b w:val="0"/>
                <w:color w:val="auto"/>
                <w:sz w:val="24"/>
              </w:rPr>
              <w:t>（2）残疾人福利性单位声明函；（如有）</w:t>
            </w:r>
          </w:p>
          <w:p w14:paraId="5A350AB3">
            <w:pPr>
              <w:pStyle w:val="47"/>
              <w:widowControl w:val="0"/>
              <w:spacing w:before="0" w:beforeAutospacing="0" w:after="0" w:afterAutospacing="0" w:line="360" w:lineRule="auto"/>
              <w:jc w:val="both"/>
              <w:rPr>
                <w:rFonts w:ascii="宋体" w:hAnsi="宋体" w:eastAsia="宋体"/>
                <w:b w:val="0"/>
                <w:i/>
                <w:iCs/>
                <w:color w:val="auto"/>
                <w:sz w:val="24"/>
              </w:rPr>
            </w:pPr>
            <w:r>
              <w:rPr>
                <w:rFonts w:hint="eastAsia" w:ascii="宋体" w:hAnsi="宋体" w:eastAsia="宋体"/>
                <w:b w:val="0"/>
                <w:color w:val="auto"/>
                <w:sz w:val="24"/>
              </w:rPr>
              <w:t>（3）中标（成交）供应商的评审总得分；</w:t>
            </w:r>
          </w:p>
          <w:p w14:paraId="7806B7E0">
            <w:pPr>
              <w:pStyle w:val="47"/>
              <w:widowControl w:val="0"/>
              <w:spacing w:before="0" w:beforeAutospacing="0" w:after="0" w:afterAutospacing="0" w:line="360" w:lineRule="auto"/>
              <w:jc w:val="both"/>
              <w:rPr>
                <w:rFonts w:ascii="宋体" w:hAnsi="宋体" w:eastAsia="宋体"/>
                <w:b w:val="0"/>
                <w:bCs w:val="0"/>
                <w:color w:val="auto"/>
                <w:sz w:val="24"/>
                <w:szCs w:val="24"/>
              </w:rPr>
            </w:pPr>
            <w:r>
              <w:rPr>
                <w:rFonts w:hint="eastAsia" w:ascii="宋体" w:hAnsi="宋体" w:eastAsia="宋体"/>
                <w:b w:val="0"/>
                <w:color w:val="auto"/>
                <w:sz w:val="24"/>
              </w:rPr>
              <w:t xml:space="preserve">（4）中标（成交）供应商的评审业绩 </w:t>
            </w:r>
          </w:p>
        </w:tc>
      </w:tr>
      <w:tr w14:paraId="3F7D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9" w:type="dxa"/>
            <w:vAlign w:val="center"/>
          </w:tcPr>
          <w:p w14:paraId="776600F6">
            <w:pPr>
              <w:pStyle w:val="48"/>
            </w:pPr>
            <w:r>
              <w:rPr>
                <w:rFonts w:hint="eastAsia"/>
              </w:rPr>
              <w:t>23</w:t>
            </w:r>
            <w:r>
              <w:t>.1</w:t>
            </w:r>
          </w:p>
        </w:tc>
        <w:tc>
          <w:tcPr>
            <w:tcW w:w="1506" w:type="dxa"/>
            <w:vAlign w:val="center"/>
          </w:tcPr>
          <w:p w14:paraId="7BA2C4BE">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成交通知书发出的形式</w:t>
            </w:r>
          </w:p>
        </w:tc>
        <w:tc>
          <w:tcPr>
            <w:tcW w:w="7260" w:type="dxa"/>
            <w:vAlign w:val="center"/>
          </w:tcPr>
          <w:p w14:paraId="1029C6FC">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sym w:font="Wingdings" w:char="00FE"/>
            </w:r>
            <w:r>
              <w:rPr>
                <w:rFonts w:hint="eastAsia" w:ascii="宋体" w:hAnsi="宋体" w:eastAsia="宋体"/>
                <w:b w:val="0"/>
                <w:sz w:val="24"/>
              </w:rPr>
              <w:t xml:space="preserve">书面 </w:t>
            </w:r>
            <w:r>
              <w:rPr>
                <w:rFonts w:ascii="宋体" w:hAnsi="宋体" w:eastAsia="宋体"/>
                <w:b w:val="0"/>
                <w:sz w:val="24"/>
              </w:rPr>
              <w:t xml:space="preserve">    </w:t>
            </w:r>
            <w:r>
              <w:rPr>
                <w:rFonts w:hint="eastAsia" w:ascii="宋体" w:hAnsi="宋体" w:eastAsia="宋体"/>
                <w:b w:val="0"/>
                <w:sz w:val="24"/>
              </w:rPr>
              <w:t>□数据电文</w:t>
            </w:r>
          </w:p>
        </w:tc>
      </w:tr>
      <w:tr w14:paraId="2F8F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9" w:type="dxa"/>
            <w:vAlign w:val="center"/>
          </w:tcPr>
          <w:p w14:paraId="36577F36">
            <w:pPr>
              <w:pStyle w:val="48"/>
            </w:pPr>
            <w:r>
              <w:rPr>
                <w:rFonts w:hint="eastAsia"/>
              </w:rPr>
              <w:t>24</w:t>
            </w:r>
            <w:r>
              <w:t>.1</w:t>
            </w:r>
          </w:p>
        </w:tc>
        <w:tc>
          <w:tcPr>
            <w:tcW w:w="1506" w:type="dxa"/>
            <w:vAlign w:val="center"/>
          </w:tcPr>
          <w:p w14:paraId="78FB60BA">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告知磋商结果的形式</w:t>
            </w:r>
          </w:p>
        </w:tc>
        <w:tc>
          <w:tcPr>
            <w:tcW w:w="7260" w:type="dxa"/>
            <w:vAlign w:val="center"/>
          </w:tcPr>
          <w:p w14:paraId="6B422A26">
            <w:pPr>
              <w:pStyle w:val="47"/>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rPr>
              <w:sym w:font="Wingdings" w:char="00FE"/>
            </w:r>
            <w:r>
              <w:rPr>
                <w:rFonts w:hint="eastAsia" w:ascii="宋体" w:hAnsi="宋体" w:eastAsia="宋体"/>
                <w:b w:val="0"/>
                <w:bCs w:val="0"/>
                <w:sz w:val="24"/>
                <w:szCs w:val="24"/>
              </w:rPr>
              <w:t>供应商自行登录网站查看滁州市科学技术馆</w:t>
            </w:r>
            <w:r>
              <w:rPr>
                <w:rFonts w:hint="eastAsia" w:hAnsi="宋体" w:eastAsia="宋体"/>
                <w:b w:val="0"/>
                <w:bCs w:val="0"/>
                <w:sz w:val="24"/>
                <w:szCs w:val="24"/>
              </w:rPr>
              <w:t>网站</w:t>
            </w:r>
            <w:r>
              <w:rPr>
                <w:rFonts w:hint="eastAsia" w:ascii="宋体" w:hAnsi="宋体" w:eastAsia="宋体" w:cs="宋体"/>
                <w:sz w:val="24"/>
                <w:szCs w:val="24"/>
              </w:rPr>
              <w:t>（</w:t>
            </w:r>
            <w:r>
              <w:rPr>
                <w:rFonts w:hint="eastAsia" w:ascii="宋体" w:hAnsi="宋体" w:eastAsia="宋体" w:cs="宋体"/>
                <w:sz w:val="22"/>
                <w:szCs w:val="22"/>
              </w:rPr>
              <w:t>http://www.czstm.org.cn/default.aspx）</w:t>
            </w:r>
          </w:p>
          <w:p w14:paraId="1ED9C46F">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□磋商现场告知</w:t>
            </w:r>
          </w:p>
        </w:tc>
      </w:tr>
      <w:tr w14:paraId="10F9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9" w:type="dxa"/>
            <w:vAlign w:val="center"/>
          </w:tcPr>
          <w:p w14:paraId="487087F6">
            <w:pPr>
              <w:pStyle w:val="48"/>
            </w:pPr>
            <w:r>
              <w:rPr>
                <w:rFonts w:hint="eastAsia"/>
              </w:rPr>
              <w:t>25</w:t>
            </w:r>
            <w:r>
              <w:t>.1</w:t>
            </w:r>
          </w:p>
        </w:tc>
        <w:tc>
          <w:tcPr>
            <w:tcW w:w="1506" w:type="dxa"/>
            <w:vAlign w:val="center"/>
          </w:tcPr>
          <w:p w14:paraId="72D3BE37">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履约保证金</w:t>
            </w:r>
          </w:p>
        </w:tc>
        <w:tc>
          <w:tcPr>
            <w:tcW w:w="7260" w:type="dxa"/>
          </w:tcPr>
          <w:p w14:paraId="669A6B8F">
            <w:pPr>
              <w:spacing w:line="360" w:lineRule="auto"/>
              <w:rPr>
                <w:rFonts w:ascii="宋体" w:hAnsi="宋体" w:eastAsia="宋体"/>
                <w:bCs/>
                <w:color w:val="auto"/>
                <w:kern w:val="0"/>
                <w:sz w:val="24"/>
                <w:szCs w:val="28"/>
              </w:rPr>
            </w:pPr>
            <w:r>
              <w:rPr>
                <w:rFonts w:hint="eastAsia" w:ascii="宋体" w:hAnsi="宋体" w:eastAsia="宋体"/>
                <w:color w:val="auto"/>
                <w:sz w:val="24"/>
                <w:szCs w:val="24"/>
              </w:rPr>
              <w:sym w:font="Wingdings" w:char="00FE"/>
            </w:r>
            <w:r>
              <w:rPr>
                <w:rFonts w:hint="eastAsia" w:ascii="宋体" w:hAnsi="宋体" w:eastAsia="宋体"/>
                <w:bCs/>
                <w:color w:val="auto"/>
                <w:kern w:val="0"/>
                <w:sz w:val="24"/>
                <w:szCs w:val="28"/>
              </w:rPr>
              <w:t>免收</w:t>
            </w:r>
          </w:p>
        </w:tc>
      </w:tr>
      <w:tr w14:paraId="5F4F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9" w:type="dxa"/>
            <w:vAlign w:val="center"/>
          </w:tcPr>
          <w:p w14:paraId="7013CBE3">
            <w:pPr>
              <w:pStyle w:val="48"/>
            </w:pPr>
            <w:r>
              <w:rPr>
                <w:rFonts w:hint="eastAsia"/>
              </w:rPr>
              <w:t>26</w:t>
            </w:r>
            <w:r>
              <w:t>.1</w:t>
            </w:r>
          </w:p>
        </w:tc>
        <w:tc>
          <w:tcPr>
            <w:tcW w:w="1506" w:type="dxa"/>
            <w:vAlign w:val="center"/>
          </w:tcPr>
          <w:p w14:paraId="5FDC4D1D">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代理费用</w:t>
            </w:r>
          </w:p>
        </w:tc>
        <w:tc>
          <w:tcPr>
            <w:tcW w:w="7260" w:type="dxa"/>
            <w:vAlign w:val="center"/>
          </w:tcPr>
          <w:p w14:paraId="0F3873DA">
            <w:pPr>
              <w:spacing w:before="39" w:line="360" w:lineRule="auto"/>
              <w:rPr>
                <w:rFonts w:ascii="宋体" w:hAnsi="宋体" w:eastAsia="宋体" w:cs="宋体"/>
                <w:color w:val="auto"/>
                <w:sz w:val="24"/>
                <w:szCs w:val="24"/>
              </w:rPr>
            </w:pPr>
            <w:r>
              <w:rPr>
                <w:rFonts w:hint="eastAsia" w:ascii="宋体" w:hAnsi="宋体" w:eastAsia="宋体"/>
                <w:bCs/>
                <w:color w:val="auto"/>
                <w:kern w:val="0"/>
                <w:sz w:val="24"/>
                <w:szCs w:val="28"/>
              </w:rPr>
              <w:t>（1）</w:t>
            </w:r>
            <w:r>
              <w:rPr>
                <w:rFonts w:ascii="宋体" w:hAnsi="宋体" w:eastAsia="宋体"/>
                <w:bCs/>
                <w:color w:val="auto"/>
                <w:kern w:val="0"/>
                <w:sz w:val="24"/>
                <w:szCs w:val="28"/>
              </w:rPr>
              <w:t>收费对象</w:t>
            </w:r>
            <w:r>
              <w:rPr>
                <w:rFonts w:ascii="宋体" w:hAnsi="宋体" w:eastAsia="宋体" w:cs="宋体"/>
                <w:color w:val="auto"/>
                <w:spacing w:val="-12"/>
                <w:sz w:val="24"/>
                <w:szCs w:val="24"/>
              </w:rPr>
              <w:t>：</w:t>
            </w:r>
            <w:r>
              <w:rPr>
                <w:rFonts w:hint="eastAsia" w:ascii="宋体" w:hAnsi="宋体" w:eastAsia="宋体"/>
                <w:bCs/>
                <w:color w:val="auto"/>
                <w:kern w:val="0"/>
                <w:sz w:val="24"/>
                <w:szCs w:val="28"/>
              </w:rPr>
              <w:sym w:font="Wingdings" w:char="00A8"/>
            </w:r>
            <w:r>
              <w:rPr>
                <w:rFonts w:ascii="宋体" w:hAnsi="宋体" w:eastAsia="宋体" w:cs="宋体"/>
                <w:color w:val="auto"/>
                <w:spacing w:val="14"/>
                <w:sz w:val="24"/>
                <w:szCs w:val="24"/>
              </w:rPr>
              <w:t>采购人</w:t>
            </w:r>
            <w:r>
              <w:rPr>
                <w:rFonts w:hint="eastAsia" w:ascii="宋体" w:hAnsi="宋体" w:eastAsia="宋体" w:cs="宋体"/>
                <w:color w:val="auto"/>
                <w:spacing w:val="14"/>
                <w:sz w:val="24"/>
                <w:szCs w:val="24"/>
              </w:rPr>
              <w:t xml:space="preserve">   </w:t>
            </w:r>
            <w:r>
              <w:rPr>
                <w:rFonts w:hint="eastAsia" w:ascii="宋体" w:hAnsi="宋体" w:eastAsia="宋体"/>
                <w:bCs/>
                <w:color w:val="auto"/>
                <w:kern w:val="0"/>
                <w:sz w:val="24"/>
                <w:szCs w:val="28"/>
              </w:rPr>
              <w:sym w:font="Wingdings" w:char="00FE"/>
            </w:r>
            <w:r>
              <w:rPr>
                <w:rFonts w:hint="eastAsia" w:ascii="宋体" w:hAnsi="宋体" w:eastAsia="宋体" w:cs="宋体"/>
                <w:color w:val="auto"/>
                <w:spacing w:val="14"/>
                <w:sz w:val="24"/>
                <w:szCs w:val="24"/>
              </w:rPr>
              <w:t>成交供应商</w:t>
            </w:r>
          </w:p>
          <w:p w14:paraId="40E60169">
            <w:pPr>
              <w:spacing w:before="24"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rPr>
              <w:t>（2）</w:t>
            </w:r>
            <w:r>
              <w:rPr>
                <w:rFonts w:ascii="宋体" w:hAnsi="宋体" w:eastAsia="宋体"/>
                <w:bCs/>
                <w:color w:val="auto"/>
                <w:kern w:val="0"/>
                <w:sz w:val="24"/>
                <w:szCs w:val="28"/>
              </w:rPr>
              <w:t>收取方式</w:t>
            </w:r>
            <w:r>
              <w:rPr>
                <w:rFonts w:ascii="宋体" w:hAnsi="宋体" w:eastAsia="宋体" w:cs="宋体"/>
                <w:color w:val="auto"/>
                <w:sz w:val="24"/>
                <w:szCs w:val="24"/>
              </w:rPr>
              <w:t>：</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成交单位在获取成交通知书时一次性支付给代理机构。</w:t>
            </w:r>
            <w:r>
              <w:rPr>
                <w:rFonts w:ascii="宋体" w:hAnsi="宋体" w:eastAsia="宋体" w:cs="宋体"/>
                <w:color w:val="auto"/>
                <w:sz w:val="24"/>
                <w:szCs w:val="24"/>
                <w:u w:val="single"/>
              </w:rPr>
              <w:t xml:space="preserve"> </w:t>
            </w:r>
          </w:p>
          <w:p w14:paraId="548B8874">
            <w:pPr>
              <w:pStyle w:val="47"/>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bCs w:val="0"/>
                <w:color w:val="auto"/>
                <w:sz w:val="24"/>
                <w:highlight w:val="none"/>
              </w:rPr>
              <w:t>（3）</w:t>
            </w:r>
            <w:r>
              <w:rPr>
                <w:rFonts w:ascii="宋体" w:hAnsi="宋体" w:eastAsia="宋体"/>
                <w:b w:val="0"/>
                <w:color w:val="auto"/>
                <w:sz w:val="24"/>
                <w:highlight w:val="none"/>
              </w:rPr>
              <w:t>收费标准：</w:t>
            </w:r>
            <w:r>
              <w:rPr>
                <w:rFonts w:ascii="宋体" w:hAnsi="宋体" w:eastAsia="宋体" w:cs="宋体"/>
                <w:b w:val="0"/>
                <w:bCs w:val="0"/>
                <w:color w:val="auto"/>
                <w:kern w:val="2"/>
                <w:sz w:val="24"/>
                <w:szCs w:val="24"/>
                <w:highlight w:val="none"/>
                <w:u w:val="single"/>
              </w:rPr>
              <w:t xml:space="preserve"> </w:t>
            </w:r>
            <w:r>
              <w:rPr>
                <w:rFonts w:hint="eastAsia" w:ascii="宋体" w:hAnsi="宋体" w:eastAsia="宋体" w:cs="宋体"/>
                <w:b w:val="0"/>
                <w:bCs w:val="0"/>
                <w:color w:val="auto"/>
                <w:kern w:val="2"/>
                <w:sz w:val="24"/>
                <w:szCs w:val="24"/>
                <w:highlight w:val="none"/>
                <w:u w:val="single"/>
              </w:rPr>
              <w:t>2000元；按</w:t>
            </w:r>
            <w:r>
              <w:rPr>
                <w:rFonts w:hint="eastAsia" w:ascii="宋体" w:hAnsi="宋体" w:eastAsia="宋体" w:cs="宋体"/>
                <w:b w:val="0"/>
                <w:bCs w:val="0"/>
                <w:color w:val="auto"/>
                <w:kern w:val="2"/>
                <w:sz w:val="24"/>
                <w:szCs w:val="24"/>
                <w:u w:val="single"/>
              </w:rPr>
              <w:t>照《滁州市公共资源交易代理机构及从业人员管理暂行办法》滁公管〔2022〕5号，以及补充文件滁公管综〔2023〕19号《关于进一步明确代理费计取标准的通知》标准，以最高限价（控制价）计算。</w:t>
            </w:r>
          </w:p>
        </w:tc>
      </w:tr>
      <w:tr w14:paraId="071C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9" w:type="dxa"/>
            <w:vAlign w:val="center"/>
          </w:tcPr>
          <w:p w14:paraId="63B887C4">
            <w:pPr>
              <w:pStyle w:val="48"/>
            </w:pPr>
            <w:r>
              <w:rPr>
                <w:rFonts w:hint="eastAsia"/>
              </w:rPr>
              <w:t>27.1</w:t>
            </w:r>
          </w:p>
        </w:tc>
        <w:tc>
          <w:tcPr>
            <w:tcW w:w="1506" w:type="dxa"/>
            <w:vAlign w:val="center"/>
          </w:tcPr>
          <w:p w14:paraId="4DA9D8FC">
            <w:pPr>
              <w:pStyle w:val="14"/>
              <w:spacing w:line="440" w:lineRule="exact"/>
              <w:rPr>
                <w:rFonts w:hAnsi="宋体" w:eastAsia="宋体" w:cs="@仿宋_GB2312"/>
                <w:kern w:val="0"/>
                <w:sz w:val="24"/>
                <w:szCs w:val="24"/>
              </w:rPr>
            </w:pPr>
            <w:r>
              <w:rPr>
                <w:rFonts w:hint="eastAsia" w:hAnsi="宋体" w:eastAsia="宋体" w:cs="@仿宋_GB2312"/>
                <w:kern w:val="0"/>
                <w:sz w:val="24"/>
                <w:szCs w:val="24"/>
              </w:rPr>
              <w:t>磋商小组的组建</w:t>
            </w:r>
          </w:p>
        </w:tc>
        <w:tc>
          <w:tcPr>
            <w:tcW w:w="7260" w:type="dxa"/>
          </w:tcPr>
          <w:p w14:paraId="7C6C43FD">
            <w:pPr>
              <w:pStyle w:val="14"/>
              <w:spacing w:line="440" w:lineRule="exact"/>
              <w:rPr>
                <w:rFonts w:hAnsi="宋体" w:eastAsia="宋体" w:cs="@仿宋_GB2312"/>
                <w:kern w:val="0"/>
                <w:sz w:val="24"/>
                <w:szCs w:val="24"/>
              </w:rPr>
            </w:pPr>
            <w:r>
              <w:rPr>
                <w:rFonts w:hint="eastAsia" w:hAnsi="宋体" w:eastAsia="宋体" w:cs="@仿宋_GB2312"/>
                <w:kern w:val="0"/>
                <w:sz w:val="24"/>
                <w:szCs w:val="24"/>
              </w:rPr>
              <w:t>磋商小组：由采购人依法组建；</w:t>
            </w:r>
          </w:p>
        </w:tc>
      </w:tr>
      <w:tr w14:paraId="70CA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9" w:type="dxa"/>
            <w:vAlign w:val="center"/>
          </w:tcPr>
          <w:p w14:paraId="62BF8658">
            <w:pPr>
              <w:pStyle w:val="48"/>
            </w:pPr>
            <w:r>
              <w:rPr>
                <w:rFonts w:hint="eastAsia"/>
              </w:rPr>
              <w:t>27.2</w:t>
            </w:r>
          </w:p>
        </w:tc>
        <w:tc>
          <w:tcPr>
            <w:tcW w:w="1506" w:type="dxa"/>
            <w:vAlign w:val="center"/>
          </w:tcPr>
          <w:p w14:paraId="2D7719E4">
            <w:pPr>
              <w:pStyle w:val="14"/>
              <w:spacing w:line="440" w:lineRule="exact"/>
              <w:jc w:val="left"/>
              <w:rPr>
                <w:rFonts w:hAnsi="宋体" w:eastAsia="宋体" w:cs="@仿宋_GB2312"/>
                <w:kern w:val="0"/>
                <w:sz w:val="24"/>
                <w:szCs w:val="24"/>
              </w:rPr>
            </w:pPr>
            <w:r>
              <w:rPr>
                <w:rFonts w:hint="eastAsia" w:hAnsi="宋体" w:eastAsia="宋体" w:cs="@仿宋_GB2312"/>
                <w:kern w:val="0"/>
                <w:sz w:val="24"/>
                <w:szCs w:val="24"/>
              </w:rPr>
              <w:t>是否授权磋商小组确定成交候选人</w:t>
            </w:r>
          </w:p>
        </w:tc>
        <w:tc>
          <w:tcPr>
            <w:tcW w:w="7260" w:type="dxa"/>
            <w:vAlign w:val="center"/>
          </w:tcPr>
          <w:p w14:paraId="7D7845A5">
            <w:pPr>
              <w:pStyle w:val="14"/>
              <w:spacing w:line="440" w:lineRule="exact"/>
              <w:rPr>
                <w:rFonts w:hAnsi="宋体" w:eastAsia="宋体" w:cs="@仿宋_GB2312"/>
                <w:kern w:val="0"/>
                <w:sz w:val="24"/>
                <w:szCs w:val="24"/>
              </w:rPr>
            </w:pPr>
            <w:r>
              <w:rPr>
                <w:rFonts w:hint="eastAsia" w:hAnsi="宋体" w:eastAsia="宋体" w:cs="@仿宋_GB2312"/>
                <w:kern w:val="0"/>
                <w:sz w:val="24"/>
                <w:szCs w:val="24"/>
              </w:rPr>
              <w:t>是，磋商小组推荐1名成交候选人，并排序。</w:t>
            </w:r>
          </w:p>
        </w:tc>
      </w:tr>
      <w:tr w14:paraId="71F3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9" w:type="dxa"/>
            <w:vAlign w:val="center"/>
          </w:tcPr>
          <w:p w14:paraId="08A18746">
            <w:pPr>
              <w:pStyle w:val="48"/>
            </w:pPr>
            <w:r>
              <w:rPr>
                <w:rFonts w:hint="eastAsia"/>
              </w:rPr>
              <w:t>28.1</w:t>
            </w:r>
          </w:p>
        </w:tc>
        <w:tc>
          <w:tcPr>
            <w:tcW w:w="1506" w:type="dxa"/>
            <w:vAlign w:val="center"/>
          </w:tcPr>
          <w:p w14:paraId="55591B2B">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签订合同时间</w:t>
            </w:r>
          </w:p>
        </w:tc>
        <w:tc>
          <w:tcPr>
            <w:tcW w:w="7260" w:type="dxa"/>
            <w:vAlign w:val="center"/>
          </w:tcPr>
          <w:p w14:paraId="118CA832">
            <w:pPr>
              <w:pStyle w:val="47"/>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Cs w:val="0"/>
                <w:sz w:val="24"/>
              </w:rPr>
              <w:t>采购人与成交供应商应当自发出成交通知书之日起7个工作日内签订合同。</w:t>
            </w:r>
          </w:p>
        </w:tc>
      </w:tr>
      <w:tr w14:paraId="3714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9" w:type="dxa"/>
            <w:vAlign w:val="center"/>
          </w:tcPr>
          <w:p w14:paraId="74F6F784">
            <w:pPr>
              <w:pStyle w:val="48"/>
            </w:pPr>
            <w:r>
              <w:rPr>
                <w:rFonts w:hint="eastAsia"/>
              </w:rPr>
              <w:t>39.3</w:t>
            </w:r>
          </w:p>
        </w:tc>
        <w:tc>
          <w:tcPr>
            <w:tcW w:w="1506" w:type="dxa"/>
            <w:vAlign w:val="center"/>
          </w:tcPr>
          <w:p w14:paraId="584BFD33">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质疑函递交方式、接收部门、联系电话和通讯地址</w:t>
            </w:r>
          </w:p>
        </w:tc>
        <w:tc>
          <w:tcPr>
            <w:tcW w:w="7260" w:type="dxa"/>
            <w:vAlign w:val="center"/>
          </w:tcPr>
          <w:p w14:paraId="143895AF">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递交方式：</w:t>
            </w:r>
            <w:r>
              <w:rPr>
                <w:rFonts w:hint="eastAsia" w:ascii="宋体" w:hAnsi="宋体" w:eastAsia="宋体"/>
                <w:sz w:val="24"/>
                <w:u w:val="single"/>
              </w:rPr>
              <w:t xml:space="preserve">如供应商对磋商文件有质疑，依据中华人民共和国财政部令第94号《政府采购质疑和投诉办法》规定提出质疑；供应商可以通过书面形式提出。一份质疑函只能针对一个项目提出质疑，且针对同一采购程序环节的质疑应当一次性提出  </w:t>
            </w:r>
          </w:p>
          <w:p w14:paraId="4C1D98F1">
            <w:pPr>
              <w:pStyle w:val="47"/>
              <w:widowControl w:val="0"/>
              <w:spacing w:before="0" w:beforeAutospacing="0" w:after="0" w:afterAutospacing="0" w:line="360" w:lineRule="auto"/>
              <w:jc w:val="both"/>
              <w:rPr>
                <w:rFonts w:ascii="宋体" w:hAnsi="宋体" w:eastAsia="宋体"/>
                <w:b w:val="0"/>
                <w:bCs w:val="0"/>
                <w:sz w:val="24"/>
                <w:szCs w:val="18"/>
              </w:rPr>
            </w:pPr>
            <w:r>
              <w:rPr>
                <w:rFonts w:hint="eastAsia" w:ascii="宋体" w:hAnsi="宋体" w:eastAsia="宋体"/>
                <w:b w:val="0"/>
                <w:sz w:val="24"/>
              </w:rPr>
              <w:t>接收部门：</w:t>
            </w:r>
            <w:r>
              <w:rPr>
                <w:rFonts w:hint="eastAsia" w:ascii="宋体" w:hAnsi="宋体" w:eastAsia="宋体"/>
                <w:sz w:val="24"/>
                <w:u w:val="single"/>
              </w:rPr>
              <w:t xml:space="preserve"> 滁州市科学技术馆、安徽凯泰工程项目管理有限公司 </w:t>
            </w:r>
          </w:p>
          <w:p w14:paraId="7A55A85C">
            <w:pPr>
              <w:pStyle w:val="47"/>
              <w:widowControl w:val="0"/>
              <w:spacing w:before="0" w:beforeAutospacing="0" w:after="0" w:afterAutospacing="0" w:line="360" w:lineRule="auto"/>
              <w:jc w:val="both"/>
              <w:rPr>
                <w:rFonts w:ascii="宋体" w:hAnsi="宋体" w:eastAsia="宋体"/>
                <w:b w:val="0"/>
                <w:bCs w:val="0"/>
                <w:sz w:val="24"/>
                <w:szCs w:val="18"/>
              </w:rPr>
            </w:pPr>
            <w:r>
              <w:rPr>
                <w:rFonts w:ascii="宋体" w:hAnsi="宋体" w:eastAsia="宋体"/>
                <w:b w:val="0"/>
                <w:sz w:val="24"/>
              </w:rPr>
              <w:t>联系电话：</w:t>
            </w:r>
            <w:r>
              <w:rPr>
                <w:rFonts w:hint="eastAsia" w:ascii="宋体" w:hAnsi="宋体" w:eastAsia="宋体"/>
                <w:sz w:val="24"/>
                <w:u w:val="single"/>
              </w:rPr>
              <w:t xml:space="preserve">0550-3062150 、18155093151 </w:t>
            </w:r>
          </w:p>
          <w:p w14:paraId="66D0C4A7">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通讯地址：</w:t>
            </w:r>
            <w:r>
              <w:rPr>
                <w:rFonts w:hint="eastAsia" w:ascii="宋体" w:hAnsi="宋体" w:eastAsia="宋体"/>
                <w:sz w:val="24"/>
                <w:u w:val="single"/>
              </w:rPr>
              <w:t xml:space="preserve"> 滁州市中都大道与同乐路交叉路口政务中心西北滁州市科学技术馆、滁州市琅琊区天乐路66号</w:t>
            </w:r>
          </w:p>
        </w:tc>
      </w:tr>
      <w:tr w14:paraId="33FB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9" w:type="dxa"/>
            <w:vAlign w:val="center"/>
          </w:tcPr>
          <w:p w14:paraId="541DB152">
            <w:pPr>
              <w:pStyle w:val="48"/>
            </w:pPr>
            <w:r>
              <w:rPr>
                <w:rFonts w:hint="eastAsia"/>
              </w:rPr>
              <w:t>30.1</w:t>
            </w:r>
          </w:p>
        </w:tc>
        <w:tc>
          <w:tcPr>
            <w:tcW w:w="1506" w:type="dxa"/>
            <w:vAlign w:val="center"/>
          </w:tcPr>
          <w:p w14:paraId="4BE1C800">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其他内容</w:t>
            </w:r>
          </w:p>
        </w:tc>
        <w:tc>
          <w:tcPr>
            <w:tcW w:w="7260" w:type="dxa"/>
            <w:vAlign w:val="center"/>
          </w:tcPr>
          <w:p w14:paraId="237C67AD">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1.解释权</w:t>
            </w:r>
          </w:p>
          <w:p w14:paraId="767CF628">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w:t>
            </w:r>
            <w:r>
              <w:rPr>
                <w:rFonts w:hint="eastAsia" w:asciiTheme="minorEastAsia" w:hAnsiTheme="minorEastAsia" w:eastAsiaTheme="minorEastAsia"/>
                <w:bCs/>
                <w:sz w:val="24"/>
                <w:szCs w:val="24"/>
              </w:rPr>
              <w:t>磋商</w:t>
            </w:r>
            <w:r>
              <w:rPr>
                <w:rFonts w:asciiTheme="minorEastAsia" w:hAnsiTheme="minorEastAsia" w:eastAsiaTheme="minorEastAsia"/>
                <w:bCs/>
                <w:sz w:val="24"/>
                <w:szCs w:val="24"/>
              </w:rPr>
              <w:t>文件的各个组成文件应互为解释，互为说明；</w:t>
            </w:r>
          </w:p>
          <w:p w14:paraId="14870514">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19589E4D">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747D83A7">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w:t>
            </w:r>
            <w:r>
              <w:rPr>
                <w:rFonts w:hint="eastAsia" w:asciiTheme="minorEastAsia" w:hAnsiTheme="minorEastAsia" w:eastAsiaTheme="minorEastAsia"/>
                <w:bCs/>
                <w:sz w:val="24"/>
                <w:szCs w:val="24"/>
              </w:rPr>
              <w:t>磋商</w:t>
            </w:r>
            <w:r>
              <w:rPr>
                <w:rFonts w:asciiTheme="minorEastAsia" w:hAnsiTheme="minorEastAsia" w:eastAsiaTheme="minorEastAsia"/>
                <w:bCs/>
                <w:sz w:val="24"/>
                <w:szCs w:val="24"/>
              </w:rPr>
              <w:t>文件中有特别规定外，仅适用于</w:t>
            </w:r>
            <w:r>
              <w:rPr>
                <w:rFonts w:hint="eastAsia" w:asciiTheme="minorEastAsia" w:hAnsiTheme="minorEastAsia" w:eastAsiaTheme="minorEastAsia"/>
                <w:bCs/>
                <w:sz w:val="24"/>
                <w:szCs w:val="24"/>
              </w:rPr>
              <w:t>磋商及响应文件提交</w:t>
            </w:r>
            <w:r>
              <w:rPr>
                <w:rFonts w:asciiTheme="minorEastAsia" w:hAnsiTheme="minorEastAsia" w:eastAsiaTheme="minorEastAsia"/>
                <w:bCs/>
                <w:sz w:val="24"/>
                <w:szCs w:val="24"/>
              </w:rPr>
              <w:t>阶段的规定，按</w:t>
            </w:r>
            <w:r>
              <w:rPr>
                <w:rFonts w:hint="eastAsia" w:asciiTheme="minorEastAsia" w:hAnsiTheme="minorEastAsia" w:eastAsiaTheme="minorEastAsia"/>
                <w:bCs/>
                <w:sz w:val="24"/>
                <w:szCs w:val="24"/>
              </w:rPr>
              <w:t>竞争性磋商</w:t>
            </w:r>
            <w:r>
              <w:rPr>
                <w:rFonts w:asciiTheme="minorEastAsia" w:hAnsiTheme="minorEastAsia" w:eastAsiaTheme="minorEastAsia"/>
                <w:bCs/>
                <w:sz w:val="24"/>
                <w:szCs w:val="24"/>
              </w:rPr>
              <w:t>公告、</w:t>
            </w:r>
            <w:r>
              <w:rPr>
                <w:rFonts w:hint="eastAsia" w:asciiTheme="minorEastAsia" w:hAnsiTheme="minorEastAsia" w:eastAsiaTheme="minorEastAsia"/>
                <w:bCs/>
                <w:sz w:val="24"/>
                <w:szCs w:val="24"/>
              </w:rPr>
              <w:t>磋商邀请、供应商</w:t>
            </w:r>
            <w:r>
              <w:rPr>
                <w:rFonts w:asciiTheme="minorEastAsia" w:hAnsiTheme="minorEastAsia" w:eastAsiaTheme="minorEastAsia"/>
                <w:bCs/>
                <w:sz w:val="24"/>
                <w:szCs w:val="24"/>
              </w:rPr>
              <w:t>须知、评</w:t>
            </w:r>
            <w:r>
              <w:rPr>
                <w:rFonts w:hint="eastAsia" w:asciiTheme="minorEastAsia" w:hAnsiTheme="minorEastAsia" w:eastAsiaTheme="minorEastAsia"/>
                <w:bCs/>
                <w:sz w:val="24"/>
                <w:szCs w:val="24"/>
              </w:rPr>
              <w:t>审方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响应</w:t>
            </w:r>
            <w:r>
              <w:rPr>
                <w:rFonts w:asciiTheme="minorEastAsia" w:hAnsiTheme="minorEastAsia" w:eastAsiaTheme="minorEastAsia"/>
                <w:bCs/>
                <w:sz w:val="24"/>
                <w:szCs w:val="24"/>
              </w:rPr>
              <w:t>文件格式的先后顺序解释；</w:t>
            </w:r>
          </w:p>
          <w:p w14:paraId="0C5A859E">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r>
              <w:rPr>
                <w:rFonts w:asciiTheme="minorEastAsia" w:hAnsiTheme="minorEastAsia" w:eastAsiaTheme="minorEastAsia"/>
                <w:bCs/>
                <w:sz w:val="24"/>
                <w:szCs w:val="24"/>
              </w:rPr>
              <w:t>按本款前述规定仍不能形成结论的，由</w:t>
            </w:r>
            <w:r>
              <w:rPr>
                <w:rFonts w:hint="eastAsia" w:asciiTheme="minorEastAsia" w:hAnsiTheme="minorEastAsia" w:eastAsiaTheme="minorEastAsia"/>
                <w:bCs/>
                <w:sz w:val="24"/>
                <w:szCs w:val="24"/>
              </w:rPr>
              <w:t>采购</w:t>
            </w:r>
            <w:r>
              <w:rPr>
                <w:rFonts w:asciiTheme="minorEastAsia" w:hAnsiTheme="minorEastAsia" w:eastAsiaTheme="minorEastAsia"/>
                <w:bCs/>
                <w:sz w:val="24"/>
                <w:szCs w:val="24"/>
              </w:rPr>
              <w:t>人负责解释。</w:t>
            </w:r>
          </w:p>
          <w:p w14:paraId="6ADB67E0">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hint="eastAsia" w:asciiTheme="minorEastAsia" w:hAnsiTheme="minorEastAsia" w:eastAsiaTheme="minorEastAsia"/>
                <w:bCs/>
                <w:szCs w:val="24"/>
              </w:rPr>
              <w:t>同义词语：</w:t>
            </w:r>
          </w:p>
          <w:p w14:paraId="04487C55">
            <w:pPr>
              <w:pStyle w:val="22"/>
              <w:spacing w:before="0" w:beforeAutospacing="0" w:after="0" w:afterAutospacing="0" w:line="360" w:lineRule="auto"/>
              <w:jc w:val="both"/>
              <w:rPr>
                <w:rFonts w:cs="@仿宋_GB2312" w:asciiTheme="minorEastAsia" w:hAnsiTheme="minorEastAsia" w:eastAsiaTheme="minorEastAsia"/>
                <w:bCs/>
                <w:kern w:val="2"/>
                <w:szCs w:val="24"/>
              </w:rPr>
            </w:pPr>
            <w:r>
              <w:rPr>
                <w:rFonts w:hint="eastAsia" w:cs="@仿宋_GB2312" w:asciiTheme="minorEastAsia" w:hAnsiTheme="minorEastAsia" w:eastAsiaTheme="minorEastAsia"/>
                <w:bCs/>
                <w:kern w:val="2"/>
                <w:szCs w:val="24"/>
              </w:rPr>
              <w:t>招标文件第六章  投标文件格式、附件1“关于联合惩戒失信行为 加强信用查询管理的通知”等章节中 “招标人”、“供应商”，等同于“采购人”、“投标人”。</w:t>
            </w:r>
          </w:p>
          <w:p w14:paraId="597C52A3">
            <w:pPr>
              <w:pStyle w:val="22"/>
              <w:spacing w:before="0" w:beforeAutospacing="0" w:after="0" w:afterAutospacing="0" w:line="360" w:lineRule="auto"/>
              <w:jc w:val="both"/>
            </w:pPr>
            <w:r>
              <w:rPr>
                <w:rFonts w:cs="@仿宋_GB2312" w:asciiTheme="minorEastAsia" w:hAnsiTheme="minorEastAsia" w:eastAsiaTheme="minorEastAsia"/>
                <w:bCs/>
                <w:kern w:val="2"/>
                <w:szCs w:val="24"/>
              </w:rPr>
              <w:t>3</w:t>
            </w:r>
            <w:r>
              <w:rPr>
                <w:rFonts w:hint="eastAsia" w:cs="@仿宋_GB2312" w:asciiTheme="minorEastAsia" w:hAnsiTheme="minorEastAsia" w:eastAsiaTheme="minorEastAsia"/>
                <w:bCs/>
                <w:kern w:val="2"/>
                <w:szCs w:val="24"/>
              </w:rPr>
              <w:t>.落实政府采购支持节能产品、环境标志产品政策。</w:t>
            </w:r>
          </w:p>
        </w:tc>
      </w:tr>
      <w:tr w14:paraId="28C8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9" w:type="dxa"/>
            <w:vAlign w:val="center"/>
          </w:tcPr>
          <w:p w14:paraId="5B8B8B67">
            <w:pPr>
              <w:pStyle w:val="48"/>
            </w:pPr>
            <w:r>
              <w:rPr>
                <w:rFonts w:hint="eastAsia"/>
              </w:rPr>
              <w:t>31.1</w:t>
            </w:r>
          </w:p>
        </w:tc>
        <w:tc>
          <w:tcPr>
            <w:tcW w:w="1506" w:type="dxa"/>
            <w:vAlign w:val="center"/>
          </w:tcPr>
          <w:p w14:paraId="030183B3">
            <w:pPr>
              <w:pStyle w:val="47"/>
              <w:widowControl w:val="0"/>
              <w:spacing w:before="0" w:beforeAutospacing="0" w:after="0" w:afterAutospacing="0" w:line="360" w:lineRule="auto"/>
              <w:rPr>
                <w:rFonts w:ascii="宋体" w:hAnsi="宋体" w:eastAsia="宋体"/>
                <w:b w:val="0"/>
                <w:color w:val="auto"/>
                <w:sz w:val="24"/>
              </w:rPr>
            </w:pPr>
            <w:r>
              <w:rPr>
                <w:rFonts w:hint="eastAsia" w:ascii="宋体" w:hAnsi="宋体" w:eastAsia="宋体"/>
                <w:b w:val="0"/>
                <w:color w:val="auto"/>
                <w:sz w:val="24"/>
              </w:rPr>
              <w:t>特别说明</w:t>
            </w:r>
          </w:p>
        </w:tc>
        <w:tc>
          <w:tcPr>
            <w:tcW w:w="7260" w:type="dxa"/>
            <w:vAlign w:val="center"/>
          </w:tcPr>
          <w:p w14:paraId="36C1EED3">
            <w:pPr>
              <w:pStyle w:val="22"/>
              <w:spacing w:before="0" w:beforeAutospacing="0" w:after="0" w:afterAutospacing="0" w:line="360" w:lineRule="auto"/>
              <w:rPr>
                <w:rFonts w:cs="@仿宋_GB2312" w:asciiTheme="minorEastAsia" w:hAnsiTheme="minorEastAsia" w:eastAsiaTheme="minorEastAsia"/>
                <w:bCs/>
                <w:color w:val="auto"/>
                <w:kern w:val="2"/>
                <w:szCs w:val="24"/>
              </w:rPr>
            </w:pPr>
            <w:r>
              <w:rPr>
                <w:rFonts w:hint="eastAsia" w:cs="@仿宋_GB2312" w:asciiTheme="minorEastAsia" w:hAnsiTheme="minorEastAsia" w:eastAsiaTheme="minorEastAsia"/>
                <w:bCs/>
                <w:color w:val="auto"/>
                <w:kern w:val="2"/>
                <w:szCs w:val="24"/>
              </w:rPr>
              <w:t>滁州市科技馆展厅玻璃墙进行遮光，需遮光玻璃墙面积约220平米左右，根据现场情况和业主要求，服务中是否实施此项，需在过程中确定，如此项取消实施，根据报价金额扣除相应款项。供应商酌情考虑此项报价。</w:t>
            </w:r>
          </w:p>
        </w:tc>
      </w:tr>
    </w:tbl>
    <w:p w14:paraId="215A7EF4">
      <w:pPr>
        <w:spacing w:line="360" w:lineRule="auto"/>
        <w:jc w:val="center"/>
        <w:outlineLvl w:val="1"/>
        <w:rPr>
          <w:rFonts w:asciiTheme="minorEastAsia" w:hAnsiTheme="minorEastAsia" w:eastAsiaTheme="minorEastAsia"/>
          <w:b/>
          <w:sz w:val="24"/>
        </w:rPr>
      </w:pPr>
      <w:r>
        <w:rPr>
          <w:rFonts w:asciiTheme="minorEastAsia" w:hAnsiTheme="minorEastAsia" w:eastAsiaTheme="minorEastAsia"/>
          <w:b/>
          <w:sz w:val="28"/>
        </w:rPr>
        <w:br w:type="page"/>
      </w:r>
      <w:bookmarkStart w:id="46" w:name="_Toc27470"/>
      <w:bookmarkStart w:id="47" w:name="_Toc14293"/>
      <w:r>
        <w:rPr>
          <w:rFonts w:hint="eastAsia" w:asciiTheme="minorEastAsia" w:hAnsiTheme="minorEastAsia" w:eastAsiaTheme="minorEastAsia"/>
          <w:b/>
          <w:sz w:val="24"/>
        </w:rPr>
        <w:t>二、供应商</w:t>
      </w:r>
      <w:r>
        <w:rPr>
          <w:rFonts w:asciiTheme="minorEastAsia" w:hAnsiTheme="minorEastAsia" w:eastAsiaTheme="minorEastAsia"/>
          <w:b/>
          <w:sz w:val="24"/>
        </w:rPr>
        <w:t>须知</w:t>
      </w:r>
      <w:r>
        <w:rPr>
          <w:rFonts w:hint="eastAsia" w:asciiTheme="minorEastAsia" w:hAnsiTheme="minorEastAsia" w:eastAsiaTheme="minorEastAsia"/>
          <w:b/>
          <w:sz w:val="24"/>
        </w:rPr>
        <w:t>正文</w:t>
      </w:r>
      <w:bookmarkEnd w:id="46"/>
      <w:bookmarkEnd w:id="47"/>
    </w:p>
    <w:p w14:paraId="2875476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w:t>
      </w:r>
      <w:r>
        <w:rPr>
          <w:rFonts w:hint="eastAsia" w:asciiTheme="minorEastAsia" w:hAnsiTheme="minorEastAsia" w:eastAsiaTheme="minorEastAsia"/>
          <w:b/>
          <w:sz w:val="24"/>
        </w:rPr>
        <w:t>采购人、采购代理机构及供应商</w:t>
      </w:r>
    </w:p>
    <w:p w14:paraId="124DFFB1">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7BB687E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3C5138CC">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r>
        <w:rPr>
          <w:rFonts w:ascii="宋体" w:hAnsi="宋体" w:eastAsia="宋体"/>
          <w:sz w:val="24"/>
        </w:rPr>
        <w:t>。</w:t>
      </w:r>
    </w:p>
    <w:p w14:paraId="59C0F85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供应商</w:t>
      </w:r>
      <w:r>
        <w:rPr>
          <w:rFonts w:ascii="宋体" w:hAnsi="宋体" w:eastAsia="宋体"/>
          <w:sz w:val="24"/>
        </w:rPr>
        <w:t>：是指向采购人提供货物、工程或者服务的法人、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w:t>
      </w:r>
      <w:r>
        <w:rPr>
          <w:rFonts w:hint="eastAsia" w:ascii="宋体" w:hAnsi="宋体" w:eastAsia="宋体"/>
          <w:sz w:val="24"/>
        </w:rPr>
        <w:t>供应商</w:t>
      </w:r>
      <w:r>
        <w:rPr>
          <w:rFonts w:ascii="宋体" w:hAnsi="宋体" w:eastAsia="宋体"/>
          <w:sz w:val="24"/>
        </w:rPr>
        <w:t>及其</w:t>
      </w:r>
      <w:r>
        <w:rPr>
          <w:rFonts w:hint="eastAsia" w:ascii="宋体" w:hAnsi="宋体" w:eastAsia="宋体"/>
          <w:sz w:val="24"/>
        </w:rPr>
        <w:t>所</w:t>
      </w:r>
      <w:r>
        <w:rPr>
          <w:rFonts w:ascii="宋体" w:hAnsi="宋体" w:eastAsia="宋体"/>
          <w:sz w:val="24"/>
        </w:rPr>
        <w:t>投货物须满足以下条件：</w:t>
      </w:r>
    </w:p>
    <w:p w14:paraId="163923E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43067F94">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w:t>
      </w:r>
      <w:r>
        <w:rPr>
          <w:rFonts w:hint="eastAsia" w:ascii="宋体" w:hAnsi="宋体" w:eastAsia="宋体"/>
          <w:sz w:val="24"/>
        </w:rPr>
        <w:t>磋商</w:t>
      </w:r>
      <w:r>
        <w:rPr>
          <w:rFonts w:ascii="宋体" w:hAnsi="宋体" w:eastAsia="宋体"/>
          <w:sz w:val="24"/>
        </w:rPr>
        <w:t>文件。</w:t>
      </w:r>
    </w:p>
    <w:p w14:paraId="4054EC8F">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w:t>
      </w:r>
      <w:r>
        <w:rPr>
          <w:rFonts w:hint="eastAsia" w:ascii="宋体" w:hAnsi="宋体" w:eastAsia="宋体"/>
          <w:sz w:val="24"/>
        </w:rPr>
        <w:t>供应商</w:t>
      </w:r>
      <w:r>
        <w:rPr>
          <w:rFonts w:ascii="宋体" w:hAnsi="宋体" w:eastAsia="宋体"/>
          <w:sz w:val="24"/>
        </w:rPr>
        <w:t>应保证所投产品可履行合法报通关手续进入中国关境内。</w:t>
      </w:r>
    </w:p>
    <w:p w14:paraId="16B5C0CA">
      <w:pPr>
        <w:spacing w:line="360" w:lineRule="auto"/>
        <w:ind w:firstLine="435"/>
        <w:rPr>
          <w:rFonts w:ascii="宋体" w:hAnsi="宋体" w:eastAsia="宋体"/>
          <w:sz w:val="24"/>
        </w:rPr>
      </w:pPr>
      <w:r>
        <w:rPr>
          <w:rFonts w:hint="eastAsia" w:ascii="宋体" w:hAnsi="宋体" w:eastAsia="宋体"/>
          <w:sz w:val="24"/>
        </w:rPr>
        <w:t>若采购需求中未写明允许采购进口产品，如供应商所投产品为进口产品，其响应文件将被认定为</w:t>
      </w:r>
      <w:r>
        <w:rPr>
          <w:rFonts w:hint="eastAsia" w:ascii="宋体" w:hAnsi="宋体" w:eastAsia="宋体"/>
          <w:b/>
          <w:sz w:val="24"/>
        </w:rPr>
        <w:t>响应无效</w:t>
      </w:r>
      <w:r>
        <w:rPr>
          <w:rFonts w:hint="eastAsia" w:ascii="宋体" w:hAnsi="宋体" w:eastAsia="宋体"/>
          <w:sz w:val="24"/>
        </w:rPr>
        <w:t>。</w:t>
      </w:r>
    </w:p>
    <w:p w14:paraId="4D8674D9">
      <w:pPr>
        <w:spacing w:line="360" w:lineRule="auto"/>
        <w:ind w:firstLine="435"/>
        <w:rPr>
          <w:rFonts w:ascii="宋体" w:hAnsi="宋体" w:eastAsia="宋体"/>
          <w:sz w:val="24"/>
        </w:rPr>
      </w:pPr>
      <w:bookmarkStart w:id="48" w:name="_Hlk60607583"/>
      <w:r>
        <w:rPr>
          <w:rFonts w:hint="eastAsia" w:ascii="宋体" w:hAnsi="宋体" w:eastAsia="宋体"/>
          <w:bCs/>
          <w:kern w:val="0"/>
          <w:sz w:val="24"/>
          <w:szCs w:val="28"/>
        </w:rPr>
        <w:t>1</w:t>
      </w:r>
      <w:r>
        <w:rPr>
          <w:rFonts w:ascii="宋体" w:hAnsi="宋体" w:eastAsia="宋体"/>
          <w:bCs/>
          <w:kern w:val="0"/>
          <w:sz w:val="24"/>
          <w:szCs w:val="28"/>
        </w:rPr>
        <w:t>.5</w:t>
      </w:r>
      <w:r>
        <w:rPr>
          <w:rFonts w:hint="eastAsia" w:ascii="宋体" w:hAnsi="宋体" w:eastAsia="宋体"/>
          <w:bCs/>
          <w:kern w:val="0"/>
          <w:sz w:val="24"/>
          <w:szCs w:val="28"/>
        </w:rPr>
        <w:t>若竞争性磋商公告</w:t>
      </w:r>
      <w:r>
        <w:rPr>
          <w:rFonts w:ascii="宋体" w:hAnsi="宋体" w:eastAsia="宋体"/>
          <w:bCs/>
          <w:kern w:val="0"/>
          <w:sz w:val="24"/>
          <w:szCs w:val="28"/>
        </w:rPr>
        <w:t>中允许联合体</w:t>
      </w:r>
      <w:r>
        <w:rPr>
          <w:rFonts w:hint="eastAsia" w:ascii="宋体" w:hAnsi="宋体" w:eastAsia="宋体"/>
          <w:bCs/>
          <w:kern w:val="0"/>
          <w:sz w:val="24"/>
          <w:szCs w:val="28"/>
        </w:rPr>
        <w:t>参加磋商</w:t>
      </w:r>
      <w:r>
        <w:rPr>
          <w:rFonts w:ascii="宋体" w:hAnsi="宋体" w:eastAsia="宋体"/>
          <w:bCs/>
          <w:kern w:val="0"/>
          <w:sz w:val="24"/>
          <w:szCs w:val="28"/>
        </w:rPr>
        <w:t>，对联合体规定如下：</w:t>
      </w:r>
    </w:p>
    <w:bookmarkEnd w:id="48"/>
    <w:p w14:paraId="6EB27EDC">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.1</w:t>
      </w:r>
      <w:r>
        <w:rPr>
          <w:rFonts w:hint="eastAsia" w:ascii="宋体" w:hAnsi="宋体" w:eastAsia="宋体"/>
          <w:sz w:val="24"/>
        </w:rPr>
        <w:t>两个以上供应商可以组成一个磋商联合体，以一个供应商的身份磋商</w:t>
      </w:r>
      <w:r>
        <w:rPr>
          <w:rFonts w:ascii="宋体" w:hAnsi="宋体" w:eastAsia="宋体"/>
          <w:sz w:val="24"/>
        </w:rPr>
        <w:t>。联合体参加磋商的，</w:t>
      </w:r>
      <w:r>
        <w:rPr>
          <w:rFonts w:hint="eastAsia" w:ascii="宋体" w:hAnsi="宋体" w:eastAsia="宋体"/>
          <w:sz w:val="24"/>
        </w:rPr>
        <w:t>磋商文件获取</w:t>
      </w:r>
      <w:r>
        <w:rPr>
          <w:rFonts w:ascii="宋体" w:hAnsi="宋体" w:eastAsia="宋体"/>
          <w:sz w:val="24"/>
        </w:rPr>
        <w:t>手续由联合体</w:t>
      </w:r>
      <w:r>
        <w:rPr>
          <w:rFonts w:hint="eastAsia" w:ascii="宋体" w:hAnsi="宋体" w:eastAsia="宋体"/>
          <w:sz w:val="24"/>
        </w:rPr>
        <w:t>中</w:t>
      </w:r>
      <w:r>
        <w:rPr>
          <w:rFonts w:ascii="宋体" w:hAnsi="宋体" w:eastAsia="宋体"/>
          <w:sz w:val="24"/>
        </w:rPr>
        <w:t>任一</w:t>
      </w:r>
      <w:r>
        <w:rPr>
          <w:rFonts w:hint="eastAsia" w:ascii="宋体" w:hAnsi="宋体" w:eastAsia="宋体"/>
          <w:sz w:val="24"/>
        </w:rPr>
        <w:t>成员单位</w:t>
      </w:r>
      <w:r>
        <w:rPr>
          <w:rFonts w:ascii="宋体" w:hAnsi="宋体" w:eastAsia="宋体"/>
          <w:sz w:val="24"/>
        </w:rPr>
        <w:t>办理均可。</w:t>
      </w:r>
    </w:p>
    <w:p w14:paraId="2F2DF5FF">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.2联合体各方均应符合《中华人民共和国政府采购法》第二十二条规定的条件。</w:t>
      </w:r>
    </w:p>
    <w:p w14:paraId="3473927D">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.3采购人根据采购项目对</w:t>
      </w:r>
      <w:r>
        <w:rPr>
          <w:rFonts w:hint="eastAsia" w:ascii="宋体" w:hAnsi="宋体" w:eastAsia="宋体"/>
          <w:sz w:val="24"/>
        </w:rPr>
        <w:t>供应商</w:t>
      </w:r>
      <w:r>
        <w:rPr>
          <w:rFonts w:ascii="宋体" w:hAnsi="宋体" w:eastAsia="宋体"/>
          <w:sz w:val="24"/>
        </w:rPr>
        <w:t>的特殊要求，联合体中至少应当有一方符合相关规定。</w:t>
      </w:r>
    </w:p>
    <w:p w14:paraId="0D5A5141">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w:t>
      </w:r>
      <w:r>
        <w:rPr>
          <w:rFonts w:hint="eastAsia" w:ascii="宋体" w:hAnsi="宋体" w:eastAsia="宋体"/>
          <w:sz w:val="24"/>
        </w:rPr>
        <w:t>响应</w:t>
      </w:r>
      <w:r>
        <w:rPr>
          <w:rFonts w:ascii="宋体" w:hAnsi="宋体" w:eastAsia="宋体"/>
          <w:sz w:val="24"/>
        </w:rPr>
        <w:t>文件</w:t>
      </w:r>
      <w:r>
        <w:rPr>
          <w:rFonts w:hint="eastAsia" w:ascii="宋体" w:hAnsi="宋体" w:eastAsia="宋体"/>
          <w:sz w:val="24"/>
        </w:rPr>
        <w:t>的</w:t>
      </w:r>
      <w:r>
        <w:rPr>
          <w:rFonts w:ascii="宋体" w:hAnsi="宋体" w:eastAsia="宋体"/>
          <w:sz w:val="24"/>
        </w:rPr>
        <w:t>一部分提交。</w:t>
      </w:r>
    </w:p>
    <w:p w14:paraId="327B760A">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.5大中型企业、其他自然人、法人或者非法人组织与小型、微型企业组成联合体共同参加</w:t>
      </w:r>
      <w:r>
        <w:rPr>
          <w:rFonts w:hint="eastAsia" w:ascii="宋体" w:hAnsi="宋体" w:eastAsia="宋体"/>
          <w:sz w:val="24"/>
        </w:rPr>
        <w:t>磋商</w:t>
      </w:r>
      <w:r>
        <w:rPr>
          <w:rFonts w:ascii="宋体" w:hAnsi="宋体" w:eastAsia="宋体"/>
          <w:sz w:val="24"/>
        </w:rPr>
        <w:t>，</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联合协议合同</w:t>
      </w:r>
      <w:r>
        <w:rPr>
          <w:rFonts w:ascii="宋体" w:hAnsi="宋体" w:eastAsia="宋体"/>
          <w:sz w:val="24"/>
        </w:rPr>
        <w:t>总金额的比例。</w:t>
      </w:r>
    </w:p>
    <w:p w14:paraId="766325E8">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6710E9C2">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.7以联合体形式参加政府采购活动的，联合体各方不得再单独参加或者与其他供应商另外组成联合体参加本项目</w:t>
      </w:r>
      <w:r>
        <w:rPr>
          <w:rFonts w:hint="eastAsia" w:ascii="宋体" w:hAnsi="宋体" w:eastAsia="宋体"/>
          <w:sz w:val="24"/>
        </w:rPr>
        <w:t>磋商</w:t>
      </w:r>
      <w:r>
        <w:rPr>
          <w:rFonts w:ascii="宋体" w:hAnsi="宋体" w:eastAsia="宋体"/>
          <w:sz w:val="24"/>
        </w:rPr>
        <w:t>，否则相关</w:t>
      </w:r>
      <w:r>
        <w:rPr>
          <w:rFonts w:hint="eastAsia" w:ascii="宋体" w:hAnsi="宋体" w:eastAsia="宋体"/>
          <w:sz w:val="24"/>
        </w:rPr>
        <w:t>响应文件将被认定为</w:t>
      </w:r>
      <w:r>
        <w:rPr>
          <w:rFonts w:hint="eastAsia" w:ascii="宋体" w:hAnsi="宋体" w:eastAsia="宋体"/>
          <w:b/>
          <w:sz w:val="24"/>
        </w:rPr>
        <w:t>响应无效</w:t>
      </w:r>
      <w:r>
        <w:rPr>
          <w:rFonts w:ascii="宋体" w:hAnsi="宋体" w:eastAsia="宋体"/>
          <w:sz w:val="24"/>
        </w:rPr>
        <w:t>。</w:t>
      </w:r>
    </w:p>
    <w:p w14:paraId="5FBA7080">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.8对联合体参加磋商的其他资格要求见</w:t>
      </w:r>
      <w:r>
        <w:rPr>
          <w:rFonts w:hint="eastAsia" w:ascii="宋体" w:hAnsi="宋体" w:eastAsia="宋体"/>
          <w:sz w:val="24"/>
        </w:rPr>
        <w:t>申请人的资格要求</w:t>
      </w:r>
      <w:r>
        <w:rPr>
          <w:rFonts w:ascii="宋体" w:hAnsi="宋体" w:eastAsia="宋体"/>
          <w:sz w:val="24"/>
        </w:rPr>
        <w:t>。</w:t>
      </w:r>
    </w:p>
    <w:p w14:paraId="068ADEC0">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资金落实情况</w:t>
      </w:r>
    </w:p>
    <w:p w14:paraId="3CB4ED0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.1本项目的采购人已获得足以支付本次磋商后所签订的合同项下的资金。</w:t>
      </w:r>
    </w:p>
    <w:p w14:paraId="5FEB725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w:t>
      </w:r>
      <w:r>
        <w:rPr>
          <w:rFonts w:hint="eastAsia" w:asciiTheme="minorEastAsia" w:hAnsiTheme="minorEastAsia" w:eastAsiaTheme="minorEastAsia"/>
          <w:b/>
          <w:sz w:val="24"/>
        </w:rPr>
        <w:t>磋商费用</w:t>
      </w:r>
    </w:p>
    <w:p w14:paraId="589CFB22">
      <w:pPr>
        <w:spacing w:line="360" w:lineRule="auto"/>
        <w:ind w:firstLine="480" w:firstLineChars="200"/>
        <w:outlineLvl w:val="2"/>
        <w:rPr>
          <w:rFonts w:ascii="宋体" w:hAnsi="宋体" w:eastAsia="宋体"/>
          <w:sz w:val="24"/>
        </w:rPr>
      </w:pPr>
      <w:r>
        <w:rPr>
          <w:rFonts w:hint="eastAsia" w:ascii="宋体" w:hAnsi="宋体" w:eastAsia="宋体"/>
          <w:sz w:val="24"/>
        </w:rPr>
        <w:t>不论磋商的结果如何，供应商应承担其所有与准备和参加磋商有关的费用</w:t>
      </w:r>
    </w:p>
    <w:p w14:paraId="51E432F4">
      <w:pPr>
        <w:spacing w:line="360" w:lineRule="auto"/>
        <w:ind w:firstLine="482" w:firstLineChars="200"/>
        <w:outlineLvl w:val="2"/>
        <w:rPr>
          <w:rFonts w:asciiTheme="minorEastAsia" w:hAnsiTheme="minorEastAsia" w:eastAsiaTheme="minorEastAsia"/>
          <w:b/>
          <w:sz w:val="24"/>
        </w:rPr>
      </w:pPr>
      <w:r>
        <w:rPr>
          <w:rFonts w:hint="eastAsia" w:asciiTheme="minorEastAsia" w:hAnsiTheme="minorEastAsia" w:eastAsiaTheme="minorEastAsia"/>
          <w:b/>
          <w:sz w:val="24"/>
        </w:rPr>
        <w:t>4.适用法律</w:t>
      </w:r>
    </w:p>
    <w:p w14:paraId="666C53E9">
      <w:pPr>
        <w:spacing w:line="360" w:lineRule="auto"/>
        <w:ind w:firstLine="480" w:firstLineChars="200"/>
        <w:outlineLvl w:val="2"/>
        <w:rPr>
          <w:rFonts w:ascii="宋体" w:hAnsi="宋体" w:eastAsia="宋体"/>
          <w:sz w:val="24"/>
        </w:rPr>
      </w:pPr>
      <w:r>
        <w:rPr>
          <w:rFonts w:hint="eastAsia" w:ascii="宋体" w:hAnsi="宋体" w:eastAsia="宋体"/>
          <w:sz w:val="24"/>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1630893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磋商文件构成</w:t>
      </w:r>
    </w:p>
    <w:p w14:paraId="1CFDE175">
      <w:pPr>
        <w:spacing w:line="360" w:lineRule="auto"/>
        <w:ind w:firstLine="435"/>
        <w:rPr>
          <w:rFonts w:ascii="宋体" w:hAnsi="宋体" w:eastAsia="宋体"/>
          <w:sz w:val="24"/>
        </w:rPr>
      </w:pPr>
      <w:r>
        <w:rPr>
          <w:rFonts w:hint="eastAsia" w:ascii="宋体" w:hAnsi="宋体" w:eastAsia="宋体"/>
          <w:sz w:val="24"/>
        </w:rPr>
        <w:t>5.1磋商文件包括下列内容：</w:t>
      </w:r>
    </w:p>
    <w:p w14:paraId="1434FE69">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w:t>
      </w:r>
      <w:r>
        <w:rPr>
          <w:rFonts w:hint="eastAsia" w:asciiTheme="minorEastAsia" w:hAnsiTheme="minorEastAsia" w:eastAsiaTheme="minorEastAsia"/>
          <w:sz w:val="24"/>
        </w:rPr>
        <w:t>磋商邀请</w:t>
      </w:r>
    </w:p>
    <w:p w14:paraId="220034F2">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w:t>
      </w:r>
      <w:r>
        <w:rPr>
          <w:rFonts w:hint="eastAsia" w:asciiTheme="minorEastAsia" w:hAnsiTheme="minorEastAsia" w:eastAsiaTheme="minorEastAsia"/>
          <w:sz w:val="24"/>
        </w:rPr>
        <w:t>供应商</w:t>
      </w:r>
      <w:r>
        <w:rPr>
          <w:rFonts w:asciiTheme="minorEastAsia" w:hAnsiTheme="minorEastAsia" w:eastAsiaTheme="minorEastAsia"/>
          <w:sz w:val="24"/>
        </w:rPr>
        <w:t>须知</w:t>
      </w:r>
    </w:p>
    <w:p w14:paraId="5B3B074B">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5625B81C">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w:t>
      </w:r>
      <w:r>
        <w:rPr>
          <w:rFonts w:hint="eastAsia" w:asciiTheme="minorEastAsia" w:hAnsiTheme="minorEastAsia" w:eastAsiaTheme="minorEastAsia"/>
          <w:sz w:val="24"/>
        </w:rPr>
        <w:t>评审方法</w:t>
      </w:r>
      <w:r>
        <w:rPr>
          <w:rFonts w:asciiTheme="minorEastAsia" w:hAnsiTheme="minorEastAsia" w:eastAsiaTheme="minorEastAsia"/>
          <w:sz w:val="24"/>
        </w:rPr>
        <w:t>和标准</w:t>
      </w:r>
    </w:p>
    <w:p w14:paraId="18C8A33A">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政府采购合同</w:t>
      </w:r>
    </w:p>
    <w:p w14:paraId="17DB1F1C">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w:t>
      </w:r>
      <w:r>
        <w:rPr>
          <w:rFonts w:hint="eastAsia" w:asciiTheme="minorEastAsia" w:hAnsiTheme="minorEastAsia" w:eastAsiaTheme="minorEastAsia"/>
          <w:sz w:val="24"/>
        </w:rPr>
        <w:t>响应</w:t>
      </w:r>
      <w:r>
        <w:rPr>
          <w:rFonts w:asciiTheme="minorEastAsia" w:hAnsiTheme="minorEastAsia" w:eastAsiaTheme="minorEastAsia"/>
          <w:sz w:val="24"/>
        </w:rPr>
        <w:t>文件格式</w:t>
      </w:r>
    </w:p>
    <w:p w14:paraId="626C1110">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第七章</w:t>
      </w:r>
      <w:r>
        <w:rPr>
          <w:rFonts w:asciiTheme="minorEastAsia" w:hAnsiTheme="minorEastAsia" w:eastAsiaTheme="minorEastAsia"/>
          <w:sz w:val="24"/>
        </w:rPr>
        <w:t xml:space="preserve">  政府采购供应商</w:t>
      </w:r>
      <w:r>
        <w:rPr>
          <w:rFonts w:hint="eastAsia" w:asciiTheme="minorEastAsia" w:hAnsiTheme="minorEastAsia" w:eastAsiaTheme="minorEastAsia"/>
          <w:sz w:val="24"/>
        </w:rPr>
        <w:t>询问函和</w:t>
      </w:r>
      <w:r>
        <w:rPr>
          <w:rFonts w:asciiTheme="minorEastAsia" w:hAnsiTheme="minorEastAsia" w:eastAsiaTheme="minorEastAsia"/>
          <w:sz w:val="24"/>
        </w:rPr>
        <w:t>质疑函范本</w:t>
      </w:r>
    </w:p>
    <w:p w14:paraId="4554355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现场</w:t>
      </w:r>
      <w:r>
        <w:rPr>
          <w:rFonts w:hint="eastAsia" w:asciiTheme="minorEastAsia" w:hAnsiTheme="minorEastAsia" w:eastAsiaTheme="minorEastAsia"/>
          <w:sz w:val="24"/>
        </w:rPr>
        <w:t>考察</w:t>
      </w:r>
      <w:r>
        <w:rPr>
          <w:rFonts w:asciiTheme="minorEastAsia" w:hAnsiTheme="minorEastAsia" w:eastAsiaTheme="minorEastAsia"/>
          <w:sz w:val="24"/>
        </w:rPr>
        <w:t>及相关事项见</w:t>
      </w:r>
      <w:r>
        <w:rPr>
          <w:rFonts w:asciiTheme="minorEastAsia" w:hAnsiTheme="minorEastAsia" w:eastAsiaTheme="minorEastAsia"/>
          <w:sz w:val="24"/>
          <w:u w:val="single"/>
        </w:rPr>
        <w:t>供应商须知前附表</w:t>
      </w:r>
      <w:r>
        <w:rPr>
          <w:rFonts w:asciiTheme="minorEastAsia" w:hAnsiTheme="minorEastAsia" w:eastAsiaTheme="minorEastAsia"/>
          <w:sz w:val="24"/>
        </w:rPr>
        <w:t>。</w:t>
      </w:r>
    </w:p>
    <w:p w14:paraId="1D6A31F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3供应商</w:t>
      </w:r>
      <w:r>
        <w:rPr>
          <w:rFonts w:asciiTheme="minorEastAsia" w:hAnsiTheme="minorEastAsia" w:eastAsiaTheme="minorEastAsia"/>
          <w:sz w:val="24"/>
        </w:rPr>
        <w:t>应认真阅读</w:t>
      </w:r>
      <w:r>
        <w:rPr>
          <w:rFonts w:hint="eastAsia" w:asciiTheme="minorEastAsia" w:hAnsiTheme="minorEastAsia" w:eastAsiaTheme="minorEastAsia"/>
          <w:sz w:val="24"/>
        </w:rPr>
        <w:t>磋商</w:t>
      </w:r>
      <w:r>
        <w:rPr>
          <w:rFonts w:asciiTheme="minorEastAsia" w:hAnsiTheme="minorEastAsia" w:eastAsiaTheme="minorEastAsia"/>
          <w:sz w:val="24"/>
        </w:rPr>
        <w:t>文件所有的事项、格式、条款和技术规范等。</w:t>
      </w:r>
    </w:p>
    <w:p w14:paraId="1B680B4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磋商文件的澄清与修改</w:t>
      </w:r>
    </w:p>
    <w:p w14:paraId="33E05B0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1供应商</w:t>
      </w:r>
      <w:r>
        <w:rPr>
          <w:rFonts w:asciiTheme="minorEastAsia" w:hAnsiTheme="minorEastAsia" w:eastAsiaTheme="minorEastAsia"/>
          <w:sz w:val="24"/>
        </w:rPr>
        <w:t>如对</w:t>
      </w:r>
      <w:r>
        <w:rPr>
          <w:rFonts w:hint="eastAsia" w:asciiTheme="minorEastAsia" w:hAnsiTheme="minorEastAsia" w:eastAsiaTheme="minorEastAsia"/>
          <w:sz w:val="24"/>
        </w:rPr>
        <w:t>磋商</w:t>
      </w:r>
      <w:r>
        <w:rPr>
          <w:rFonts w:asciiTheme="minorEastAsia" w:hAnsiTheme="minorEastAsia" w:eastAsiaTheme="minorEastAsia"/>
          <w:sz w:val="24"/>
        </w:rPr>
        <w:t>文件内容有疑问，</w:t>
      </w:r>
      <w:r>
        <w:rPr>
          <w:rFonts w:hint="eastAsia" w:asciiTheme="minorEastAsia" w:hAnsiTheme="minorEastAsia" w:eastAsiaTheme="minorEastAsia"/>
          <w:sz w:val="24"/>
        </w:rPr>
        <w:t>可</w:t>
      </w:r>
      <w:r>
        <w:rPr>
          <w:rFonts w:asciiTheme="minorEastAsia" w:hAnsiTheme="minorEastAsia" w:eastAsiaTheme="minorEastAsia"/>
          <w:sz w:val="24"/>
        </w:rPr>
        <w:t>在</w:t>
      </w:r>
      <w:r>
        <w:rPr>
          <w:rFonts w:ascii="宋体" w:hAnsi="宋体" w:eastAsia="宋体"/>
          <w:sz w:val="24"/>
          <w:u w:val="single"/>
        </w:rPr>
        <w:t>供应商须知前附表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截止时间前提交给采购代理机构。</w:t>
      </w:r>
    </w:p>
    <w:p w14:paraId="1DF5546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2采购人可主动地或在答复供应商提出的询问时对磋商文件进行澄清与修改。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w:t>
      </w:r>
      <w:bookmarkStart w:id="49" w:name="_Hlk16458572"/>
      <w:r>
        <w:rPr>
          <w:rFonts w:hint="eastAsia" w:asciiTheme="minorEastAsia" w:hAnsiTheme="minorEastAsia" w:eastAsiaTheme="minorEastAsia"/>
          <w:sz w:val="24"/>
        </w:rPr>
        <w:t>安徽省政府采购网</w:t>
      </w:r>
      <w:bookmarkEnd w:id="49"/>
      <w:r>
        <w:rPr>
          <w:rFonts w:hint="eastAsia" w:asciiTheme="minorEastAsia" w:hAnsiTheme="minorEastAsia" w:eastAsiaTheme="minorEastAsia"/>
          <w:sz w:val="24"/>
        </w:rPr>
        <w:t>和滁州市科学技术馆网以发布更正公告的方式澄清或者修改磋商文件，更正公告的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w:t>
      </w:r>
      <w:r>
        <w:rPr>
          <w:rFonts w:hint="eastAsia" w:asciiTheme="minorEastAsia" w:hAnsiTheme="minorEastAsia" w:eastAsiaTheme="minorEastAsia"/>
          <w:sz w:val="24"/>
        </w:rPr>
        <w:t>磋商</w:t>
      </w:r>
      <w:r>
        <w:rPr>
          <w:rFonts w:asciiTheme="minorEastAsia" w:hAnsiTheme="minorEastAsia" w:eastAsiaTheme="minorEastAsia"/>
          <w:sz w:val="24"/>
        </w:rPr>
        <w:t>文件</w:t>
      </w:r>
      <w:r>
        <w:rPr>
          <w:rFonts w:hint="eastAsia" w:asciiTheme="minorEastAsia" w:hAnsiTheme="minorEastAsia" w:eastAsiaTheme="minorEastAsia"/>
          <w:sz w:val="24"/>
        </w:rPr>
        <w:t>的</w:t>
      </w:r>
      <w:r>
        <w:rPr>
          <w:rFonts w:asciiTheme="minorEastAsia" w:hAnsiTheme="minorEastAsia" w:eastAsiaTheme="minorEastAsia"/>
          <w:sz w:val="24"/>
        </w:rPr>
        <w:t>组成部分，对</w:t>
      </w:r>
      <w:r>
        <w:rPr>
          <w:rFonts w:hint="eastAsia" w:asciiTheme="minorEastAsia" w:hAnsiTheme="minorEastAsia" w:eastAsiaTheme="minorEastAsia"/>
          <w:sz w:val="24"/>
        </w:rPr>
        <w:t>供应商</w:t>
      </w:r>
      <w:r>
        <w:rPr>
          <w:rFonts w:asciiTheme="minorEastAsia" w:hAnsiTheme="minorEastAsia" w:eastAsiaTheme="minorEastAsia"/>
          <w:sz w:val="24"/>
        </w:rPr>
        <w:t>起约束作用</w:t>
      </w:r>
      <w:r>
        <w:rPr>
          <w:rFonts w:hint="eastAsia" w:asciiTheme="minorEastAsia" w:hAnsiTheme="minorEastAsia" w:eastAsiaTheme="minorEastAsia"/>
          <w:sz w:val="24"/>
        </w:rPr>
        <w:t>。供应商应主动上网查询。采购代理机构不承担供应商未及时关注相关信息引发的相关责任。</w:t>
      </w:r>
    </w:p>
    <w:p w14:paraId="149100A1">
      <w:pPr>
        <w:spacing w:line="360" w:lineRule="auto"/>
        <w:ind w:firstLine="435"/>
        <w:rPr>
          <w:rFonts w:ascii="宋体" w:hAnsi="宋体" w:eastAsia="宋体"/>
          <w:sz w:val="24"/>
        </w:rPr>
      </w:pPr>
      <w:r>
        <w:rPr>
          <w:rFonts w:hint="eastAsia" w:ascii="宋体" w:hAnsi="宋体" w:eastAsia="宋体"/>
          <w:sz w:val="24"/>
        </w:rPr>
        <w:t>6.3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2410FB22">
      <w:pPr>
        <w:spacing w:line="360" w:lineRule="auto"/>
        <w:ind w:firstLine="435"/>
        <w:rPr>
          <w:rFonts w:asciiTheme="minorEastAsia" w:hAnsiTheme="minorEastAsia" w:eastAsiaTheme="minorEastAsia"/>
          <w:iCs/>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询问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w:t>
      </w:r>
      <w:r>
        <w:rPr>
          <w:rFonts w:hint="eastAsia" w:asciiTheme="minorEastAsia" w:hAnsiTheme="minorEastAsia" w:eastAsiaTheme="minorEastAsia"/>
          <w:sz w:val="24"/>
        </w:rPr>
        <w:t>磋商</w:t>
      </w:r>
      <w:r>
        <w:rPr>
          <w:rFonts w:asciiTheme="minorEastAsia" w:hAnsiTheme="minorEastAsia" w:eastAsiaTheme="minorEastAsia"/>
          <w:sz w:val="24"/>
        </w:rPr>
        <w:t>的</w:t>
      </w:r>
      <w:r>
        <w:rPr>
          <w:rFonts w:hint="eastAsia" w:asciiTheme="minorEastAsia" w:hAnsiTheme="minorEastAsia" w:eastAsiaTheme="minorEastAsia"/>
          <w:sz w:val="24"/>
        </w:rPr>
        <w:t>供应商</w:t>
      </w:r>
      <w:r>
        <w:rPr>
          <w:rFonts w:asciiTheme="minorEastAsia" w:hAnsiTheme="minorEastAsia" w:eastAsiaTheme="minorEastAsia"/>
          <w:sz w:val="24"/>
        </w:rPr>
        <w:t>将被视为完全认同</w:t>
      </w:r>
      <w:r>
        <w:rPr>
          <w:rFonts w:hint="eastAsia" w:asciiTheme="minorEastAsia" w:hAnsiTheme="minorEastAsia" w:eastAsiaTheme="minorEastAsia"/>
          <w:sz w:val="24"/>
        </w:rPr>
        <w:t>本磋商</w:t>
      </w:r>
      <w:r>
        <w:rPr>
          <w:rFonts w:asciiTheme="minorEastAsia" w:hAnsiTheme="minorEastAsia" w:eastAsiaTheme="minorEastAsia"/>
          <w:sz w:val="24"/>
        </w:rPr>
        <w:t>文件（含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sz w:val="24"/>
        </w:rPr>
        <w:t>。</w:t>
      </w:r>
    </w:p>
    <w:p w14:paraId="059878D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磋商范围及响应文件中标准和计量单位的使用</w:t>
      </w:r>
    </w:p>
    <w:p w14:paraId="200D834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.1项目有分包的，供应商可</w:t>
      </w:r>
      <w:r>
        <w:rPr>
          <w:rFonts w:hint="eastAsia" w:asciiTheme="minorEastAsia" w:hAnsiTheme="minorEastAsia" w:eastAsiaTheme="minorEastAsia"/>
          <w:sz w:val="24"/>
        </w:rPr>
        <w:t>参与</w:t>
      </w:r>
      <w:r>
        <w:rPr>
          <w:rFonts w:asciiTheme="minorEastAsia" w:hAnsiTheme="minorEastAsia" w:eastAsiaTheme="minorEastAsia"/>
          <w:sz w:val="24"/>
        </w:rPr>
        <w:t>其中某一个或</w:t>
      </w:r>
      <w:r>
        <w:rPr>
          <w:rFonts w:hint="eastAsia" w:asciiTheme="minorEastAsia" w:hAnsiTheme="minorEastAsia" w:eastAsiaTheme="minorEastAsia"/>
          <w:sz w:val="24"/>
        </w:rPr>
        <w:t>多</w:t>
      </w:r>
      <w:r>
        <w:rPr>
          <w:rFonts w:asciiTheme="minorEastAsia" w:hAnsiTheme="minorEastAsia" w:eastAsiaTheme="minorEastAsia"/>
          <w:sz w:val="24"/>
        </w:rPr>
        <w:t>个分包</w:t>
      </w:r>
      <w:r>
        <w:rPr>
          <w:rFonts w:hint="eastAsia" w:asciiTheme="minorEastAsia" w:hAnsiTheme="minorEastAsia" w:eastAsiaTheme="minorEastAsia"/>
          <w:sz w:val="24"/>
        </w:rPr>
        <w:t>的磋商</w:t>
      </w:r>
      <w:r>
        <w:rPr>
          <w:rFonts w:asciiTheme="minorEastAsia" w:hAnsiTheme="minorEastAsia" w:eastAsiaTheme="minorEastAsia"/>
          <w:sz w:val="24"/>
        </w:rPr>
        <w:t>，</w:t>
      </w:r>
      <w:r>
        <w:rPr>
          <w:rFonts w:hint="eastAsia" w:asciiTheme="minorEastAsia" w:hAnsiTheme="minorEastAsia" w:eastAsiaTheme="minorEastAsia"/>
          <w:sz w:val="24"/>
        </w:rPr>
        <w:t>成交包数详见</w:t>
      </w:r>
      <w:r>
        <w:rPr>
          <w:rFonts w:asciiTheme="minorEastAsia" w:hAnsiTheme="minorEastAsia" w:eastAsiaTheme="minorEastAsia"/>
          <w:sz w:val="24"/>
          <w:u w:val="single"/>
        </w:rPr>
        <w:t>供应商须知前附表</w:t>
      </w:r>
      <w:r>
        <w:rPr>
          <w:rFonts w:asciiTheme="minorEastAsia" w:hAnsiTheme="minorEastAsia" w:eastAsiaTheme="minorEastAsia"/>
          <w:sz w:val="24"/>
        </w:rPr>
        <w:t>中规定。</w:t>
      </w:r>
    </w:p>
    <w:p w14:paraId="4D2A4166">
      <w:pPr>
        <w:spacing w:line="360" w:lineRule="auto"/>
        <w:ind w:firstLine="435"/>
        <w:rPr>
          <w:rFonts w:eastAsiaTheme="minorEastAsia"/>
        </w:rPr>
      </w:pPr>
      <w:r>
        <w:rPr>
          <w:rFonts w:hint="eastAsia" w:asciiTheme="minorEastAsia" w:hAnsiTheme="minorEastAsia" w:eastAsiaTheme="minorEastAsia"/>
          <w:sz w:val="24"/>
        </w:rPr>
        <w:t>7.2 供应商</w:t>
      </w:r>
      <w:r>
        <w:rPr>
          <w:rFonts w:asciiTheme="minorEastAsia" w:hAnsiTheme="minorEastAsia" w:eastAsiaTheme="minorEastAsia"/>
          <w:sz w:val="24"/>
        </w:rPr>
        <w:t>应当对所投分包</w:t>
      </w:r>
      <w:r>
        <w:rPr>
          <w:rFonts w:hint="eastAsia" w:asciiTheme="minorEastAsia" w:hAnsiTheme="minorEastAsia" w:eastAsiaTheme="minorEastAsia"/>
          <w:sz w:val="24"/>
        </w:rPr>
        <w:t>磋商</w:t>
      </w:r>
      <w:r>
        <w:rPr>
          <w:rFonts w:asciiTheme="minorEastAsia" w:hAnsiTheme="minorEastAsia" w:eastAsiaTheme="minorEastAsia"/>
          <w:sz w:val="24"/>
        </w:rPr>
        <w:t>文件中“</w:t>
      </w:r>
      <w:r>
        <w:rPr>
          <w:rFonts w:hint="eastAsia" w:asciiTheme="minorEastAsia" w:hAnsiTheme="minorEastAsia" w:eastAsiaTheme="minorEastAsia"/>
          <w:sz w:val="24"/>
        </w:rPr>
        <w:t>采购</w:t>
      </w:r>
      <w:r>
        <w:rPr>
          <w:rFonts w:asciiTheme="minorEastAsia" w:hAnsiTheme="minorEastAsia" w:eastAsiaTheme="minorEastAsia"/>
          <w:sz w:val="24"/>
        </w:rPr>
        <w:t>需求”所列的所有内容进行</w:t>
      </w:r>
      <w:r>
        <w:rPr>
          <w:rFonts w:hint="eastAsia" w:asciiTheme="minorEastAsia" w:hAnsiTheme="minorEastAsia" w:eastAsiaTheme="minorEastAsia"/>
          <w:sz w:val="24"/>
        </w:rPr>
        <w:t>响应</w:t>
      </w:r>
      <w:r>
        <w:rPr>
          <w:rFonts w:asciiTheme="minorEastAsia" w:hAnsiTheme="minorEastAsia" w:eastAsiaTheme="minorEastAsia"/>
          <w:sz w:val="24"/>
        </w:rPr>
        <w:t>，如仅响应</w:t>
      </w:r>
      <w:r>
        <w:rPr>
          <w:rFonts w:hint="eastAsia" w:asciiTheme="minorEastAsia" w:hAnsiTheme="minorEastAsia" w:eastAsiaTheme="minorEastAsia"/>
          <w:sz w:val="24"/>
        </w:rPr>
        <w:t>所投包别</w:t>
      </w:r>
      <w:r>
        <w:rPr>
          <w:rFonts w:asciiTheme="minorEastAsia" w:hAnsiTheme="minorEastAsia" w:eastAsiaTheme="minorEastAsia"/>
          <w:sz w:val="24"/>
        </w:rPr>
        <w:t>中的部分内容，其</w:t>
      </w:r>
      <w:r>
        <w:rPr>
          <w:rFonts w:hint="eastAsia" w:asciiTheme="minorEastAsia" w:hAnsiTheme="minorEastAsia" w:eastAsiaTheme="minorEastAsia"/>
          <w:sz w:val="24"/>
        </w:rPr>
        <w:t>所投包别的响应</w:t>
      </w:r>
      <w:r>
        <w:rPr>
          <w:rFonts w:asciiTheme="minorEastAsia" w:hAnsiTheme="minorEastAsia" w:eastAsiaTheme="minorEastAsia"/>
          <w:sz w:val="24"/>
        </w:rPr>
        <w:t>将被认定为</w:t>
      </w:r>
      <w:r>
        <w:rPr>
          <w:rFonts w:hint="eastAsia" w:asciiTheme="minorEastAsia" w:hAnsiTheme="minorEastAsia" w:eastAsiaTheme="minorEastAsia"/>
          <w:b/>
          <w:sz w:val="24"/>
        </w:rPr>
        <w:t>响应</w:t>
      </w:r>
      <w:r>
        <w:rPr>
          <w:rFonts w:asciiTheme="minorEastAsia" w:hAnsiTheme="minorEastAsia" w:eastAsiaTheme="minorEastAsia"/>
          <w:b/>
          <w:sz w:val="24"/>
        </w:rPr>
        <w:t>无效</w:t>
      </w:r>
      <w:r>
        <w:rPr>
          <w:rFonts w:asciiTheme="minorEastAsia" w:hAnsiTheme="minorEastAsia" w:eastAsiaTheme="minorEastAsia"/>
          <w:sz w:val="24"/>
        </w:rPr>
        <w:t>。</w:t>
      </w:r>
    </w:p>
    <w:p w14:paraId="3343C04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无论磋商文件中是否要求，供应商所投货物及伴随的服务和工程均应符合国家强制性标准。</w:t>
      </w:r>
    </w:p>
    <w:p w14:paraId="31F2A65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w:t>
      </w:r>
    </w:p>
    <w:p w14:paraId="0975901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除磋商文件中有特殊要求外，响应文件中所使用的计量单位，应采用中华人民共和国法定计量单位。</w:t>
      </w:r>
    </w:p>
    <w:p w14:paraId="54DF075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响应文件构成</w:t>
      </w:r>
    </w:p>
    <w:p w14:paraId="6F4D0FA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w:t>
      </w:r>
      <w:r>
        <w:rPr>
          <w:rFonts w:hint="eastAsia" w:ascii="宋体" w:hAnsi="宋体" w:eastAsia="宋体"/>
          <w:sz w:val="24"/>
        </w:rPr>
        <w:t>供应商</w:t>
      </w:r>
      <w:r>
        <w:rPr>
          <w:rFonts w:asciiTheme="minorEastAsia" w:hAnsiTheme="minorEastAsia" w:eastAsiaTheme="minorEastAsia"/>
          <w:sz w:val="24"/>
        </w:rPr>
        <w:t>应完整地按</w:t>
      </w:r>
      <w:r>
        <w:rPr>
          <w:rFonts w:hint="eastAsia" w:asciiTheme="minorEastAsia" w:hAnsiTheme="minorEastAsia" w:eastAsiaTheme="minorEastAsia"/>
          <w:sz w:val="24"/>
        </w:rPr>
        <w:t>磋商</w:t>
      </w:r>
      <w:r>
        <w:rPr>
          <w:rFonts w:asciiTheme="minorEastAsia" w:hAnsiTheme="minorEastAsia" w:eastAsiaTheme="minorEastAsia"/>
          <w:sz w:val="24"/>
        </w:rPr>
        <w:t>文件提供的</w:t>
      </w:r>
      <w:r>
        <w:rPr>
          <w:rFonts w:hint="eastAsia" w:asciiTheme="minorEastAsia" w:hAnsiTheme="minorEastAsia" w:eastAsiaTheme="minorEastAsia"/>
          <w:sz w:val="24"/>
        </w:rPr>
        <w:t>响应</w:t>
      </w:r>
      <w:r>
        <w:rPr>
          <w:rFonts w:asciiTheme="minorEastAsia" w:hAnsiTheme="minorEastAsia" w:eastAsiaTheme="minorEastAsia"/>
          <w:sz w:val="24"/>
        </w:rPr>
        <w:t>文件格式及要求</w:t>
      </w:r>
      <w:r>
        <w:rPr>
          <w:rFonts w:hint="eastAsia" w:asciiTheme="minorEastAsia" w:hAnsiTheme="minorEastAsia" w:eastAsiaTheme="minorEastAsia"/>
          <w:sz w:val="24"/>
        </w:rPr>
        <w:t>编</w:t>
      </w:r>
      <w:r>
        <w:rPr>
          <w:rFonts w:asciiTheme="minorEastAsia" w:hAnsiTheme="minorEastAsia" w:eastAsiaTheme="minorEastAsia"/>
          <w:sz w:val="24"/>
        </w:rPr>
        <w:t>写</w:t>
      </w:r>
      <w:r>
        <w:rPr>
          <w:rFonts w:hint="eastAsia" w:asciiTheme="minorEastAsia" w:hAnsiTheme="minorEastAsia" w:eastAsiaTheme="minorEastAsia"/>
          <w:sz w:val="24"/>
        </w:rPr>
        <w:t>响应</w:t>
      </w:r>
      <w:r>
        <w:rPr>
          <w:rFonts w:asciiTheme="minorEastAsia" w:hAnsiTheme="minorEastAsia" w:eastAsiaTheme="minorEastAsia"/>
          <w:sz w:val="24"/>
        </w:rPr>
        <w:t>文件，</w:t>
      </w:r>
      <w:r>
        <w:rPr>
          <w:rFonts w:hint="eastAsia" w:asciiTheme="minorEastAsia" w:hAnsiTheme="minorEastAsia" w:eastAsiaTheme="minorEastAsia"/>
          <w:sz w:val="24"/>
        </w:rPr>
        <w:t>具体内容详见本项目响应文件格式的相关内容。</w:t>
      </w:r>
    </w:p>
    <w:p w14:paraId="199BD0B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8.2</w:t>
      </w:r>
      <w:r>
        <w:rPr>
          <w:rFonts w:hint="eastAsia" w:ascii="宋体" w:hAnsi="宋体" w:eastAsia="宋体"/>
          <w:sz w:val="24"/>
        </w:rPr>
        <w:t>供应商</w:t>
      </w:r>
      <w:r>
        <w:rPr>
          <w:rFonts w:asciiTheme="minorEastAsia" w:hAnsiTheme="minorEastAsia" w:eastAsiaTheme="minorEastAsia"/>
          <w:sz w:val="24"/>
        </w:rPr>
        <w:t>应提交</w:t>
      </w:r>
      <w:r>
        <w:rPr>
          <w:rFonts w:hint="eastAsia" w:asciiTheme="minorEastAsia" w:hAnsiTheme="minorEastAsia" w:eastAsiaTheme="minorEastAsia"/>
          <w:sz w:val="24"/>
        </w:rPr>
        <w:t>磋商文件要求的</w:t>
      </w:r>
      <w:r>
        <w:rPr>
          <w:rFonts w:asciiTheme="minorEastAsia" w:hAnsiTheme="minorEastAsia" w:eastAsiaTheme="minorEastAsia"/>
          <w:sz w:val="24"/>
        </w:rPr>
        <w:t>证明文件，证明其</w:t>
      </w:r>
      <w:r>
        <w:rPr>
          <w:rFonts w:hint="eastAsia" w:asciiTheme="minorEastAsia" w:hAnsiTheme="minorEastAsia" w:eastAsiaTheme="minorEastAsia"/>
          <w:sz w:val="24"/>
        </w:rPr>
        <w:t>响应</w:t>
      </w:r>
      <w:r>
        <w:rPr>
          <w:rFonts w:asciiTheme="minorEastAsia" w:hAnsiTheme="minorEastAsia" w:eastAsiaTheme="minorEastAsia"/>
          <w:sz w:val="24"/>
        </w:rPr>
        <w:t>内容符合</w:t>
      </w:r>
      <w:r>
        <w:rPr>
          <w:rFonts w:hint="eastAsia" w:asciiTheme="minorEastAsia" w:hAnsiTheme="minorEastAsia" w:eastAsiaTheme="minorEastAsia"/>
          <w:sz w:val="24"/>
        </w:rPr>
        <w:t>磋商</w:t>
      </w:r>
      <w:r>
        <w:rPr>
          <w:rFonts w:asciiTheme="minorEastAsia" w:hAnsiTheme="minorEastAsia" w:eastAsiaTheme="minorEastAsia"/>
          <w:sz w:val="24"/>
        </w:rPr>
        <w:t>文件规定</w:t>
      </w:r>
      <w:r>
        <w:rPr>
          <w:rFonts w:hint="eastAsia" w:asciiTheme="minorEastAsia" w:hAnsiTheme="minorEastAsia" w:eastAsiaTheme="minorEastAsia"/>
          <w:sz w:val="24"/>
        </w:rPr>
        <w:t>，</w:t>
      </w:r>
      <w:r>
        <w:rPr>
          <w:rFonts w:asciiTheme="minorEastAsia" w:hAnsiTheme="minorEastAsia" w:eastAsiaTheme="minorEastAsia"/>
          <w:sz w:val="24"/>
        </w:rPr>
        <w:t>该证明文件是</w:t>
      </w:r>
      <w:r>
        <w:rPr>
          <w:rFonts w:hint="eastAsia" w:asciiTheme="minorEastAsia" w:hAnsiTheme="minorEastAsia" w:eastAsiaTheme="minorEastAsia"/>
          <w:sz w:val="24"/>
        </w:rPr>
        <w:t>响应</w:t>
      </w:r>
      <w:r>
        <w:rPr>
          <w:rFonts w:asciiTheme="minorEastAsia" w:hAnsiTheme="minorEastAsia" w:eastAsiaTheme="minorEastAsia"/>
          <w:sz w:val="24"/>
        </w:rPr>
        <w:t>文件的一部分</w:t>
      </w:r>
      <w:r>
        <w:rPr>
          <w:rFonts w:hint="eastAsia" w:asciiTheme="minorEastAsia" w:hAnsiTheme="minorEastAsia" w:eastAsiaTheme="minorEastAsia"/>
          <w:sz w:val="24"/>
        </w:rPr>
        <w:t>。</w:t>
      </w:r>
      <w:r>
        <w:rPr>
          <w:rFonts w:asciiTheme="minorEastAsia" w:hAnsiTheme="minorEastAsia" w:eastAsiaTheme="minorEastAsia"/>
          <w:sz w:val="24"/>
        </w:rPr>
        <w:t>证明文件</w:t>
      </w:r>
      <w:r>
        <w:rPr>
          <w:rFonts w:hint="eastAsia" w:asciiTheme="minorEastAsia" w:hAnsiTheme="minorEastAsia" w:eastAsiaTheme="minorEastAsia"/>
          <w:sz w:val="24"/>
        </w:rPr>
        <w:t>形式</w:t>
      </w:r>
      <w:r>
        <w:rPr>
          <w:rFonts w:asciiTheme="minorEastAsia" w:hAnsiTheme="minorEastAsia" w:eastAsiaTheme="minorEastAsia"/>
          <w:sz w:val="24"/>
        </w:rPr>
        <w:t>可以是文字资料、图纸和数据</w:t>
      </w:r>
      <w:r>
        <w:rPr>
          <w:rFonts w:hint="eastAsia" w:asciiTheme="minorEastAsia" w:hAnsiTheme="minorEastAsia" w:eastAsiaTheme="minorEastAsia"/>
          <w:sz w:val="24"/>
        </w:rPr>
        <w:t>等。</w:t>
      </w:r>
    </w:p>
    <w:p w14:paraId="2679939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8.3</w:t>
      </w:r>
      <w:r>
        <w:rPr>
          <w:rFonts w:asciiTheme="minorEastAsia" w:hAnsiTheme="minorEastAsia" w:eastAsiaTheme="minorEastAsia"/>
          <w:sz w:val="24"/>
        </w:rPr>
        <w:t>为保证</w:t>
      </w:r>
      <w:r>
        <w:rPr>
          <w:rFonts w:ascii="宋体" w:hAnsi="宋体" w:eastAsia="宋体"/>
          <w:sz w:val="24"/>
        </w:rPr>
        <w:t>公平</w:t>
      </w:r>
      <w:r>
        <w:rPr>
          <w:rFonts w:asciiTheme="minorEastAsia" w:hAnsiTheme="minorEastAsia" w:eastAsiaTheme="minorEastAsia"/>
          <w:sz w:val="24"/>
        </w:rPr>
        <w:t>公正，除非另有规定或说明，</w:t>
      </w:r>
      <w:r>
        <w:rPr>
          <w:rFonts w:hint="eastAsia" w:asciiTheme="minorEastAsia" w:hAnsiTheme="minorEastAsia" w:eastAsiaTheme="minorEastAsia"/>
          <w:sz w:val="24"/>
        </w:rPr>
        <w:t>供应商</w:t>
      </w:r>
      <w:r>
        <w:rPr>
          <w:rFonts w:asciiTheme="minorEastAsia" w:hAnsiTheme="minorEastAsia" w:eastAsiaTheme="minorEastAsia"/>
          <w:sz w:val="24"/>
        </w:rPr>
        <w:t>对同一项目</w:t>
      </w:r>
      <w:r>
        <w:rPr>
          <w:rFonts w:hint="eastAsia" w:asciiTheme="minorEastAsia" w:hAnsiTheme="minorEastAsia" w:eastAsiaTheme="minorEastAsia"/>
          <w:sz w:val="24"/>
        </w:rPr>
        <w:t>磋商</w:t>
      </w:r>
      <w:r>
        <w:rPr>
          <w:rFonts w:asciiTheme="minorEastAsia" w:hAnsiTheme="minorEastAsia" w:eastAsiaTheme="minorEastAsia"/>
          <w:sz w:val="24"/>
        </w:rPr>
        <w:t>时，不得同时提供</w:t>
      </w:r>
      <w:r>
        <w:rPr>
          <w:rFonts w:hint="eastAsia" w:asciiTheme="minorEastAsia" w:hAnsiTheme="minorEastAsia" w:eastAsiaTheme="minorEastAsia"/>
          <w:sz w:val="24"/>
        </w:rPr>
        <w:t>备选磋商</w:t>
      </w:r>
      <w:r>
        <w:rPr>
          <w:rFonts w:asciiTheme="minorEastAsia" w:hAnsiTheme="minorEastAsia" w:eastAsiaTheme="minorEastAsia"/>
          <w:sz w:val="24"/>
        </w:rPr>
        <w:t>方案。</w:t>
      </w:r>
    </w:p>
    <w:p w14:paraId="405D317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报价</w:t>
      </w:r>
    </w:p>
    <w:p w14:paraId="734A4C0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w:t>
      </w:r>
      <w:r>
        <w:rPr>
          <w:rFonts w:hint="eastAsia" w:asciiTheme="minorEastAsia" w:hAnsiTheme="minorEastAsia" w:eastAsiaTheme="minorEastAsia"/>
          <w:sz w:val="24"/>
        </w:rPr>
        <w:t>供应商</w:t>
      </w:r>
      <w:r>
        <w:rPr>
          <w:rFonts w:asciiTheme="minorEastAsia" w:hAnsiTheme="minorEastAsia" w:eastAsiaTheme="minorEastAsia"/>
          <w:sz w:val="24"/>
        </w:rPr>
        <w:t>的报价应当包括满足本次</w:t>
      </w:r>
      <w:r>
        <w:rPr>
          <w:rFonts w:hint="eastAsia" w:asciiTheme="minorEastAsia" w:hAnsiTheme="minorEastAsia" w:eastAsiaTheme="minorEastAsia"/>
          <w:sz w:val="24"/>
        </w:rPr>
        <w:t>磋商</w:t>
      </w:r>
      <w:r>
        <w:rPr>
          <w:rFonts w:asciiTheme="minorEastAsia" w:hAnsiTheme="minorEastAsia" w:eastAsiaTheme="minorEastAsia"/>
          <w:sz w:val="24"/>
        </w:rPr>
        <w:t>全部采购需求所应提供的</w:t>
      </w:r>
      <w:r>
        <w:rPr>
          <w:rFonts w:hint="eastAsia" w:asciiTheme="minorEastAsia" w:hAnsiTheme="minorEastAsia" w:eastAsiaTheme="minorEastAsia"/>
          <w:sz w:val="24"/>
        </w:rPr>
        <w:t>货物，</w:t>
      </w:r>
      <w:r>
        <w:rPr>
          <w:rFonts w:asciiTheme="minorEastAsia" w:hAnsiTheme="minorEastAsia" w:eastAsiaTheme="minorEastAsia"/>
          <w:sz w:val="24"/>
        </w:rPr>
        <w:t>以及伴随的</w:t>
      </w:r>
      <w:r>
        <w:rPr>
          <w:rFonts w:hint="eastAsia" w:asciiTheme="minorEastAsia" w:hAnsiTheme="minorEastAsia" w:eastAsiaTheme="minorEastAsia"/>
          <w:sz w:val="24"/>
        </w:rPr>
        <w:t>服务</w:t>
      </w:r>
      <w:r>
        <w:rPr>
          <w:rFonts w:asciiTheme="minorEastAsia" w:hAnsiTheme="minorEastAsia" w:eastAsiaTheme="minorEastAsia"/>
          <w:sz w:val="24"/>
        </w:rPr>
        <w:t>和工程</w:t>
      </w:r>
      <w:r>
        <w:rPr>
          <w:rFonts w:hint="eastAsia" w:asciiTheme="minorEastAsia" w:hAnsiTheme="minorEastAsia" w:eastAsiaTheme="minorEastAsia"/>
          <w:sz w:val="24"/>
        </w:rPr>
        <w:t>。除磋商文件另有规定外，所有内容均应以人民币报价，供应商的磋商报价应遵守《中华人民共和国价格法》。</w:t>
      </w:r>
    </w:p>
    <w:p w14:paraId="51B978A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除非磋商文件另有规定或经采购人同意支付的，最后报价均不得高于磋商文件（公告）列明的项目预算，否则其响应文件将被认定为</w:t>
      </w:r>
      <w:r>
        <w:rPr>
          <w:rFonts w:asciiTheme="minorEastAsia" w:hAnsiTheme="minorEastAsia" w:eastAsiaTheme="minorEastAsia"/>
          <w:b/>
          <w:sz w:val="24"/>
        </w:rPr>
        <w:t>响应无效</w:t>
      </w:r>
      <w:r>
        <w:rPr>
          <w:rFonts w:asciiTheme="minorEastAsia" w:hAnsiTheme="minorEastAsia" w:eastAsiaTheme="minorEastAsia"/>
          <w:sz w:val="24"/>
        </w:rPr>
        <w:t>。</w:t>
      </w:r>
    </w:p>
    <w:p w14:paraId="5DCA1C3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3报价</w:t>
      </w:r>
      <w:r>
        <w:rPr>
          <w:rFonts w:asciiTheme="minorEastAsia" w:hAnsiTheme="minorEastAsia" w:eastAsiaTheme="minorEastAsia"/>
          <w:sz w:val="24"/>
        </w:rPr>
        <w:t>在合同履行过程中是固定不变的，不得以任何理由予以变更。任何包含价格调整要求的</w:t>
      </w:r>
      <w:r>
        <w:rPr>
          <w:rFonts w:hint="eastAsia" w:asciiTheme="minorEastAsia" w:hAnsiTheme="minorEastAsia" w:eastAsiaTheme="minorEastAsia"/>
          <w:sz w:val="24"/>
        </w:rPr>
        <w:t>磋商</w:t>
      </w:r>
      <w:r>
        <w:rPr>
          <w:rFonts w:asciiTheme="minorEastAsia" w:hAnsiTheme="minorEastAsia" w:eastAsiaTheme="minorEastAsia"/>
          <w:sz w:val="24"/>
        </w:rPr>
        <w:t>，其</w:t>
      </w:r>
      <w:r>
        <w:rPr>
          <w:rFonts w:hint="eastAsia" w:asciiTheme="minorEastAsia" w:hAnsiTheme="minorEastAsia" w:eastAsiaTheme="minorEastAsia"/>
          <w:sz w:val="24"/>
        </w:rPr>
        <w:t>响应文件将被认定为</w:t>
      </w:r>
      <w:r>
        <w:rPr>
          <w:rFonts w:hint="eastAsia" w:asciiTheme="minorEastAsia" w:hAnsiTheme="minorEastAsia" w:eastAsiaTheme="minorEastAsia"/>
          <w:b/>
          <w:sz w:val="24"/>
        </w:rPr>
        <w:t>响应无效</w:t>
      </w:r>
      <w:r>
        <w:rPr>
          <w:rFonts w:asciiTheme="minorEastAsia" w:hAnsiTheme="minorEastAsia" w:eastAsiaTheme="minorEastAsia"/>
          <w:sz w:val="24"/>
        </w:rPr>
        <w:t>。</w:t>
      </w:r>
    </w:p>
    <w:p w14:paraId="2565F92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采购人不接受具有附加条件的报价。</w:t>
      </w:r>
    </w:p>
    <w:p w14:paraId="14DCB62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磋商保证金</w:t>
      </w:r>
    </w:p>
    <w:p w14:paraId="3127F24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10.1本项目不收取磋商保证金。</w:t>
      </w:r>
    </w:p>
    <w:p w14:paraId="6CB720B6">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磋商有效期</w:t>
      </w:r>
    </w:p>
    <w:p w14:paraId="3CE85FE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w:t>
      </w:r>
      <w:r>
        <w:rPr>
          <w:rFonts w:asciiTheme="minorEastAsia" w:hAnsiTheme="minorEastAsia" w:eastAsiaTheme="minorEastAsia"/>
          <w:sz w:val="24"/>
        </w:rPr>
        <w:t>.1磋商有效期为从响应文件提交截止之日算起的日历天数，磋商有效期详见</w:t>
      </w:r>
      <w:r>
        <w:rPr>
          <w:rFonts w:asciiTheme="minorEastAsia" w:hAnsiTheme="minorEastAsia" w:eastAsiaTheme="minorEastAsia"/>
          <w:sz w:val="24"/>
          <w:u w:val="single"/>
        </w:rPr>
        <w:t>供应商须知前附表</w:t>
      </w:r>
      <w:r>
        <w:rPr>
          <w:rFonts w:asciiTheme="minorEastAsia" w:hAnsiTheme="minorEastAsia" w:eastAsiaTheme="minorEastAsia"/>
          <w:sz w:val="24"/>
        </w:rPr>
        <w:t>。</w:t>
      </w:r>
    </w:p>
    <w:p w14:paraId="4E72F14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w:t>
      </w:r>
      <w:r>
        <w:rPr>
          <w:rFonts w:asciiTheme="minorEastAsia" w:hAnsiTheme="minorEastAsia" w:eastAsiaTheme="minorEastAsia"/>
          <w:sz w:val="24"/>
        </w:rPr>
        <w:t>.2在磋商有效期内，供应商的磋商保持有效，供应商不得要求撤销或修改其响应文件。磋商有效期不满足要求的响应，其响应文件将被认定为</w:t>
      </w:r>
      <w:r>
        <w:rPr>
          <w:rFonts w:asciiTheme="minorEastAsia" w:hAnsiTheme="minorEastAsia" w:eastAsiaTheme="minorEastAsia"/>
          <w:b/>
          <w:sz w:val="24"/>
        </w:rPr>
        <w:t>响应无效</w:t>
      </w:r>
      <w:r>
        <w:rPr>
          <w:rFonts w:asciiTheme="minorEastAsia" w:hAnsiTheme="minorEastAsia" w:eastAsiaTheme="minorEastAsia"/>
          <w:sz w:val="24"/>
        </w:rPr>
        <w:t>。</w:t>
      </w:r>
    </w:p>
    <w:p w14:paraId="30EAA3E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w:t>
      </w:r>
      <w:r>
        <w:rPr>
          <w:rFonts w:asciiTheme="minorEastAsia" w:hAnsiTheme="minorEastAsia" w:eastAsiaTheme="minorEastAsia"/>
          <w:sz w:val="24"/>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04D8387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响应文件的提交、修改与撤回</w:t>
      </w:r>
    </w:p>
    <w:p w14:paraId="1CEEAC8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12.1供应商应当在第一章竞争性磋商公告规定的响应文件提交截止时间前</w:t>
      </w:r>
      <w:r>
        <w:rPr>
          <w:rFonts w:asciiTheme="minorEastAsia" w:hAnsiTheme="minorEastAsia" w:eastAsiaTheme="minorEastAsia"/>
          <w:sz w:val="24"/>
        </w:rPr>
        <w:t>，</w:t>
      </w:r>
      <w:r>
        <w:rPr>
          <w:rFonts w:hint="eastAsia" w:asciiTheme="minorEastAsia" w:hAnsiTheme="minorEastAsia" w:eastAsiaTheme="minorEastAsia"/>
          <w:sz w:val="24"/>
        </w:rPr>
        <w:t>递交响应</w:t>
      </w:r>
      <w:r>
        <w:rPr>
          <w:rFonts w:asciiTheme="minorEastAsia" w:hAnsiTheme="minorEastAsia" w:eastAsiaTheme="minorEastAsia"/>
          <w:sz w:val="24"/>
        </w:rPr>
        <w:t>文件。</w:t>
      </w:r>
    </w:p>
    <w:p w14:paraId="28FB5DD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12.2供应商响应文件提交截止时间前可以修改或撤回已递交的响应文件，但应以书面形式通知采购人。</w:t>
      </w:r>
    </w:p>
    <w:p w14:paraId="65AC400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12.</w:t>
      </w:r>
      <w:r>
        <w:rPr>
          <w:rFonts w:asciiTheme="minorEastAsia" w:hAnsiTheme="minorEastAsia" w:eastAsiaTheme="minorEastAsia"/>
          <w:sz w:val="24"/>
        </w:rPr>
        <w:t>3</w:t>
      </w:r>
      <w:r>
        <w:rPr>
          <w:rFonts w:hint="eastAsia" w:asciiTheme="minorEastAsia" w:hAnsiTheme="minorEastAsia" w:eastAsiaTheme="minorEastAsia"/>
          <w:sz w:val="24"/>
        </w:rPr>
        <w:t>供应商应在</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规定的解密时间前对其响应文件进行解密。未在规定时间内进行解密的，</w:t>
      </w:r>
      <w:r>
        <w:rPr>
          <w:rFonts w:hint="eastAsia" w:asciiTheme="minorEastAsia" w:hAnsiTheme="minorEastAsia" w:eastAsiaTheme="minorEastAsia"/>
          <w:b/>
          <w:bCs/>
          <w:sz w:val="24"/>
        </w:rPr>
        <w:t>响应无效。</w:t>
      </w:r>
    </w:p>
    <w:p w14:paraId="109B2E64">
      <w:pPr>
        <w:spacing w:line="360" w:lineRule="auto"/>
        <w:ind w:firstLine="435"/>
        <w:rPr>
          <w:rFonts w:ascii="宋体" w:hAnsi="宋体" w:eastAsia="宋体"/>
          <w:sz w:val="24"/>
        </w:rPr>
      </w:pPr>
      <w:r>
        <w:rPr>
          <w:rFonts w:hint="eastAsia" w:asciiTheme="minorEastAsia" w:hAnsiTheme="minorEastAsia" w:eastAsiaTheme="minorEastAsia"/>
          <w:sz w:val="24"/>
        </w:rPr>
        <w:t>12.4在响应文件提交截止时间之后，供应商不得对其响应文件做任何修改。</w:t>
      </w:r>
      <w:r>
        <w:rPr>
          <w:rFonts w:hint="eastAsia" w:ascii="宋体" w:hAnsi="宋体" w:eastAsia="宋体"/>
          <w:sz w:val="24"/>
        </w:rPr>
        <w:t>但属于磋商小组在评审中发现的计算错误并进行核实的修改、按照磋商文件的变动情况和磋商小组的要求重新提交响应文件的，不在此列。</w:t>
      </w:r>
    </w:p>
    <w:p w14:paraId="16A887B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13</w:t>
      </w:r>
      <w:r>
        <w:rPr>
          <w:rFonts w:asciiTheme="minorEastAsia" w:hAnsiTheme="minorEastAsia" w:eastAsiaTheme="minorEastAsia"/>
          <w:b/>
          <w:sz w:val="24"/>
        </w:rPr>
        <w:t>.</w:t>
      </w:r>
      <w:r>
        <w:rPr>
          <w:rFonts w:hint="eastAsia" w:asciiTheme="minorEastAsia" w:hAnsiTheme="minorEastAsia" w:eastAsiaTheme="minorEastAsia"/>
          <w:b/>
          <w:sz w:val="24"/>
        </w:rPr>
        <w:t>磋商小组</w:t>
      </w:r>
    </w:p>
    <w:p w14:paraId="1649CD9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.1本项目将依法组建磋商小组，磋商小组成员由3人以上</w:t>
      </w:r>
      <w:r>
        <w:rPr>
          <w:rFonts w:hint="eastAsia" w:asciiTheme="minorEastAsia" w:hAnsiTheme="minorEastAsia" w:eastAsiaTheme="minorEastAsia"/>
          <w:sz w:val="24"/>
        </w:rPr>
        <w:t>（含）</w:t>
      </w:r>
      <w:r>
        <w:rPr>
          <w:rFonts w:asciiTheme="minorEastAsia" w:hAnsiTheme="minorEastAsia" w:eastAsiaTheme="minorEastAsia"/>
          <w:sz w:val="24"/>
        </w:rPr>
        <w:t>单数组成，磋商小组及其成员应当依照政府采购的有关规定履行相关职责和义务。</w:t>
      </w:r>
    </w:p>
    <w:p w14:paraId="0964D12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.2磋商小组依法对响应文件进行评审，并根据磋商文件规定的程序、评定成交的标准等事项与实质性响应磋商文件要求的供应商进行磋商。</w:t>
      </w:r>
    </w:p>
    <w:p w14:paraId="0926EB4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.3磋商小组应当从质量和服务均能满足磋商文件实质性响应要求的供应商中，按照评审方法和标准</w:t>
      </w:r>
      <w:r>
        <w:rPr>
          <w:rFonts w:hint="eastAsia" w:asciiTheme="minorEastAsia" w:hAnsiTheme="minorEastAsia" w:eastAsiaTheme="minorEastAsia"/>
          <w:sz w:val="24"/>
        </w:rPr>
        <w:t>推荐</w:t>
      </w:r>
      <w:r>
        <w:rPr>
          <w:rFonts w:asciiTheme="minorEastAsia" w:hAnsiTheme="minorEastAsia" w:eastAsiaTheme="minorEastAsia"/>
          <w:sz w:val="24"/>
        </w:rPr>
        <w:t>成交候选供应商，并编写</w:t>
      </w:r>
      <w:r>
        <w:rPr>
          <w:rFonts w:hint="eastAsia" w:asciiTheme="minorEastAsia" w:hAnsiTheme="minorEastAsia" w:eastAsiaTheme="minorEastAsia"/>
          <w:sz w:val="24"/>
        </w:rPr>
        <w:t>评审</w:t>
      </w:r>
      <w:r>
        <w:rPr>
          <w:rFonts w:asciiTheme="minorEastAsia" w:hAnsiTheme="minorEastAsia" w:eastAsiaTheme="minorEastAsia"/>
          <w:sz w:val="24"/>
        </w:rPr>
        <w:t>报告。</w:t>
      </w:r>
    </w:p>
    <w:p w14:paraId="21011AA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14</w:t>
      </w:r>
      <w:r>
        <w:rPr>
          <w:rFonts w:asciiTheme="minorEastAsia" w:hAnsiTheme="minorEastAsia" w:eastAsiaTheme="minorEastAsia"/>
          <w:b/>
          <w:sz w:val="24"/>
        </w:rPr>
        <w:t>.响应文件的评审与磋商</w:t>
      </w:r>
    </w:p>
    <w:p w14:paraId="1B06C3B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w:t>
      </w:r>
      <w:r>
        <w:rPr>
          <w:rFonts w:asciiTheme="minorEastAsia" w:hAnsiTheme="minorEastAsia" w:eastAsiaTheme="minorEastAsia"/>
          <w:sz w:val="24"/>
        </w:rPr>
        <w:t>.</w:t>
      </w:r>
      <w:r>
        <w:rPr>
          <w:rFonts w:hint="eastAsia" w:asciiTheme="minorEastAsia" w:hAnsiTheme="minorEastAsia" w:eastAsiaTheme="minorEastAsia"/>
          <w:sz w:val="24"/>
        </w:rPr>
        <w:t>1采购人和采购代理机构将在竞争性磋商公告规定的时间和地点组织磋商。</w:t>
      </w:r>
    </w:p>
    <w:p w14:paraId="0FCBA1F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14.2竞争性磋商活动采用综合评分法评审。</w:t>
      </w:r>
    </w:p>
    <w:p w14:paraId="698A040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综合评分法，是指响应文件满足磋商文件全部实质性要求且按评审因素的量化指标评审得分最高的供应商为成交候选供应商的评审方法。</w:t>
      </w:r>
    </w:p>
    <w:p w14:paraId="42EF575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14.3磋商小组将按照磋商文件规定的评审方法和标准对供应商独立进行评审。评审程序如下：</w:t>
      </w:r>
    </w:p>
    <w:p w14:paraId="7D29095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14.3.1</w:t>
      </w:r>
      <w:r>
        <w:rPr>
          <w:rFonts w:hint="eastAsia" w:asciiTheme="minorEastAsia" w:hAnsiTheme="minorEastAsia" w:eastAsiaTheme="minorEastAsia"/>
          <w:b/>
          <w:sz w:val="24"/>
        </w:rPr>
        <w:t>初审</w:t>
      </w:r>
      <w:r>
        <w:rPr>
          <w:rFonts w:hint="eastAsia" w:asciiTheme="minorEastAsia" w:hAnsiTheme="minorEastAsia" w:eastAsiaTheme="minorEastAsia"/>
          <w:sz w:val="24"/>
        </w:rPr>
        <w:t>。磋商小组对供应商必须满足和实质性响应的内容进行评审，供应商未实质性响应磋商文件要求导致响应无效的，磋商小组将以书面询标的方式告知有关供应商。</w:t>
      </w:r>
    </w:p>
    <w:p w14:paraId="708A5846">
      <w:pPr>
        <w:spacing w:line="360" w:lineRule="auto"/>
        <w:ind w:firstLine="435"/>
        <w:rPr>
          <w:rFonts w:ascii="宋体" w:hAnsi="宋体" w:eastAsia="宋体" w:cs="宋体"/>
          <w:sz w:val="24"/>
          <w:szCs w:val="24"/>
        </w:rPr>
      </w:pPr>
      <w:r>
        <w:rPr>
          <w:rFonts w:hint="eastAsia" w:ascii="宋体" w:hAnsi="宋体" w:eastAsia="宋体" w:cs="宋体"/>
          <w:sz w:val="24"/>
          <w:szCs w:val="24"/>
        </w:rPr>
        <w:t>采购人或采购代理机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sz w:val="24"/>
          <w:szCs w:val="24"/>
        </w:rPr>
        <w:t>响应无效</w:t>
      </w:r>
      <w:r>
        <w:rPr>
          <w:rFonts w:hint="eastAsia" w:ascii="宋体" w:hAnsi="宋体" w:eastAsia="宋体" w:cs="宋体"/>
          <w:sz w:val="24"/>
          <w:szCs w:val="24"/>
        </w:rPr>
        <w:t>。</w:t>
      </w:r>
    </w:p>
    <w:p w14:paraId="2CF95439">
      <w:pPr>
        <w:spacing w:line="360" w:lineRule="auto"/>
        <w:ind w:firstLine="435"/>
        <w:rPr>
          <w:rFonts w:ascii="宋体" w:hAnsi="宋体" w:eastAsia="宋体" w:cs="宋体"/>
          <w:sz w:val="24"/>
          <w:szCs w:val="24"/>
        </w:rPr>
      </w:pPr>
      <w:r>
        <w:rPr>
          <w:rFonts w:hint="eastAsia" w:ascii="宋体" w:hAnsi="宋体" w:eastAsia="宋体" w:cs="宋体"/>
          <w:sz w:val="24"/>
          <w:szCs w:val="24"/>
        </w:rPr>
        <w:t>以联合体形式参加磋商的，联合体成员存在以上不良信用记录的，联合体磋商将被认定为</w:t>
      </w:r>
      <w:r>
        <w:rPr>
          <w:rFonts w:hint="eastAsia" w:ascii="宋体" w:hAnsi="宋体" w:eastAsia="宋体" w:cs="宋体"/>
          <w:b/>
          <w:sz w:val="24"/>
          <w:szCs w:val="24"/>
        </w:rPr>
        <w:t>响应无效</w:t>
      </w:r>
      <w:r>
        <w:rPr>
          <w:rFonts w:hint="eastAsia" w:ascii="宋体" w:hAnsi="宋体" w:eastAsia="宋体" w:cs="宋体"/>
          <w:sz w:val="24"/>
          <w:szCs w:val="24"/>
        </w:rPr>
        <w:t>。</w:t>
      </w:r>
    </w:p>
    <w:p w14:paraId="0CD43CCC">
      <w:pPr>
        <w:spacing w:line="360" w:lineRule="auto"/>
        <w:ind w:firstLine="435"/>
        <w:rPr>
          <w:rFonts w:asciiTheme="minorEastAsia" w:hAnsiTheme="minorEastAsia" w:eastAsiaTheme="minorEastAsia"/>
          <w:sz w:val="24"/>
        </w:rPr>
      </w:pPr>
      <w:r>
        <w:rPr>
          <w:rFonts w:hint="eastAsia" w:ascii="宋体" w:hAnsi="宋体" w:eastAsia="宋体" w:cs="宋体"/>
          <w:sz w:val="24"/>
          <w:szCs w:val="24"/>
        </w:rPr>
        <w:t>以上信用查询记录，采购人或采购代理机构将下载查询结果页面后与其他采购文件一并保存。供应商不良信用记录以采购人或采购代理机构查询结果为准。在本采购文件规定的查询时间之外，网站信息发生的任何变更均不作为初审依据。供应商自行提供的与网站信息不一致的其他证明材料亦不作为初审依据。</w:t>
      </w:r>
    </w:p>
    <w:p w14:paraId="25B3E22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14.3.2</w:t>
      </w:r>
      <w:r>
        <w:rPr>
          <w:rFonts w:hint="eastAsia" w:asciiTheme="minorEastAsia" w:hAnsiTheme="minorEastAsia" w:eastAsiaTheme="minorEastAsia"/>
          <w:b/>
          <w:sz w:val="24"/>
        </w:rPr>
        <w:t>磋商</w:t>
      </w:r>
      <w:r>
        <w:rPr>
          <w:rFonts w:hint="eastAsia" w:asciiTheme="minorEastAsia" w:hAnsiTheme="minorEastAsia" w:eastAsiaTheme="minorEastAsia"/>
          <w:sz w:val="24"/>
        </w:rPr>
        <w:t>。初审合格后，磋商小组将按响应文件提交顺序集中与单一供应商分别进行磋商，并给予所有参加磋商的供应商平等的磋商机会。</w:t>
      </w:r>
    </w:p>
    <w:p w14:paraId="77E449D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14.3.3</w:t>
      </w:r>
      <w:r>
        <w:rPr>
          <w:rFonts w:asciiTheme="minorEastAsia" w:hAnsiTheme="minorEastAsia" w:eastAsiaTheme="minorEastAsia"/>
          <w:b/>
          <w:sz w:val="24"/>
        </w:rPr>
        <w:t>报价</w:t>
      </w:r>
      <w:r>
        <w:rPr>
          <w:rFonts w:hint="eastAsia" w:asciiTheme="minorEastAsia" w:hAnsiTheme="minorEastAsia" w:eastAsiaTheme="minorEastAsia"/>
          <w:sz w:val="24"/>
        </w:rPr>
        <w:t>。</w:t>
      </w:r>
      <w:r>
        <w:rPr>
          <w:rFonts w:asciiTheme="minorEastAsia" w:hAnsiTheme="minorEastAsia" w:eastAsiaTheme="minorEastAsia"/>
          <w:sz w:val="24"/>
        </w:rPr>
        <w:t>磋商结束后，磋商小组应当要求所有</w:t>
      </w:r>
      <w:r>
        <w:rPr>
          <w:rFonts w:hint="eastAsia" w:asciiTheme="minorEastAsia" w:hAnsiTheme="minorEastAsia" w:eastAsiaTheme="minorEastAsia"/>
          <w:sz w:val="24"/>
        </w:rPr>
        <w:t>实质性响应</w:t>
      </w:r>
      <w:r>
        <w:rPr>
          <w:rFonts w:asciiTheme="minorEastAsia" w:hAnsiTheme="minorEastAsia" w:eastAsiaTheme="minorEastAsia"/>
          <w:sz w:val="24"/>
        </w:rPr>
        <w:t>的供应商在规定时间内提交最后报价</w:t>
      </w:r>
      <w:r>
        <w:rPr>
          <w:rFonts w:hint="eastAsia" w:ascii="宋体" w:hAnsi="宋体" w:eastAsia="宋体"/>
          <w:sz w:val="24"/>
        </w:rPr>
        <w:t>。</w:t>
      </w:r>
    </w:p>
    <w:p w14:paraId="7F754BF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14.3.4</w:t>
      </w:r>
      <w:r>
        <w:rPr>
          <w:rFonts w:hint="eastAsia" w:asciiTheme="minorEastAsia" w:hAnsiTheme="minorEastAsia" w:eastAsiaTheme="minorEastAsia"/>
          <w:b/>
          <w:sz w:val="24"/>
        </w:rPr>
        <w:t>综合评分</w:t>
      </w:r>
      <w:r>
        <w:rPr>
          <w:rFonts w:hint="eastAsia" w:asciiTheme="minorEastAsia" w:hAnsiTheme="minorEastAsia" w:eastAsiaTheme="minorEastAsia"/>
          <w:sz w:val="24"/>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14C26E8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14.4相关说明。</w:t>
      </w:r>
    </w:p>
    <w:p w14:paraId="65831D8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 xml:space="preserve">14.4.1为保证磋商活动顺利进行，供应商可派相关技术人员进行网上答疑； </w:t>
      </w:r>
    </w:p>
    <w:p w14:paraId="33E79E0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14.4.2磋</w:t>
      </w:r>
      <w:r>
        <w:rPr>
          <w:rFonts w:asciiTheme="minorEastAsia" w:hAnsiTheme="minorEastAsia" w:eastAsiaTheme="minorEastAsia"/>
          <w:sz w:val="24"/>
        </w:rPr>
        <w:t>商小组根据与</w:t>
      </w:r>
      <w:r>
        <w:rPr>
          <w:rFonts w:hint="eastAsia" w:asciiTheme="minorEastAsia" w:hAnsiTheme="minorEastAsia" w:eastAsiaTheme="minorEastAsia"/>
          <w:sz w:val="24"/>
        </w:rPr>
        <w:t>供应商</w:t>
      </w:r>
      <w:r>
        <w:rPr>
          <w:rFonts w:asciiTheme="minorEastAsia" w:hAnsiTheme="minorEastAsia" w:eastAsiaTheme="minorEastAsia"/>
          <w:sz w:val="24"/>
        </w:rPr>
        <w:t>磋商情况可能实质性变动</w:t>
      </w:r>
      <w:r>
        <w:rPr>
          <w:rFonts w:hint="eastAsia" w:asciiTheme="minorEastAsia" w:hAnsiTheme="minorEastAsia" w:eastAsiaTheme="minorEastAsia"/>
          <w:sz w:val="24"/>
        </w:rPr>
        <w:t>磋商文件</w:t>
      </w:r>
      <w:r>
        <w:rPr>
          <w:rFonts w:asciiTheme="minorEastAsia" w:hAnsiTheme="minorEastAsia" w:eastAsiaTheme="minorEastAsia"/>
          <w:sz w:val="24"/>
        </w:rPr>
        <w:t>的内容，包括采购需求中的技术、服务要求以及合同草案条款。磋商文件有实质性变动的，</w:t>
      </w:r>
      <w:r>
        <w:rPr>
          <w:rFonts w:hint="eastAsia" w:asciiTheme="minorEastAsia" w:hAnsiTheme="minorEastAsia" w:eastAsiaTheme="minorEastAsia"/>
          <w:sz w:val="24"/>
        </w:rPr>
        <w:t>经采购人代表确认作为磋商文件的有效组成部分，</w:t>
      </w:r>
      <w:r>
        <w:rPr>
          <w:rFonts w:asciiTheme="minorEastAsia" w:hAnsiTheme="minorEastAsia" w:eastAsiaTheme="minorEastAsia"/>
          <w:sz w:val="24"/>
        </w:rPr>
        <w:t>磋商小组</w:t>
      </w:r>
      <w:r>
        <w:rPr>
          <w:rFonts w:hint="eastAsia" w:asciiTheme="minorEastAsia" w:hAnsiTheme="minorEastAsia" w:eastAsiaTheme="minorEastAsia"/>
          <w:sz w:val="24"/>
        </w:rPr>
        <w:t>将</w:t>
      </w:r>
      <w:r>
        <w:rPr>
          <w:rFonts w:asciiTheme="minorEastAsia" w:hAnsiTheme="minorEastAsia" w:eastAsiaTheme="minorEastAsia"/>
          <w:sz w:val="24"/>
        </w:rPr>
        <w:t>以书面形式通知所有参加磋商的供应商。</w:t>
      </w:r>
    </w:p>
    <w:p w14:paraId="14BB415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Theme="minorEastAsia" w:hAnsiTheme="minorEastAsia" w:eastAsiaTheme="minorEastAsia"/>
          <w:b/>
          <w:sz w:val="24"/>
        </w:rPr>
        <w:t>响应无效</w:t>
      </w:r>
      <w:r>
        <w:rPr>
          <w:rFonts w:hint="eastAsia" w:asciiTheme="minorEastAsia" w:hAnsiTheme="minorEastAsia" w:eastAsiaTheme="minorEastAsia"/>
          <w:sz w:val="24"/>
        </w:rPr>
        <w:t>。</w:t>
      </w:r>
    </w:p>
    <w:p w14:paraId="30D8652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14.4.4</w:t>
      </w:r>
      <w:r>
        <w:rPr>
          <w:rFonts w:asciiTheme="minorEastAsia" w:hAnsiTheme="minorEastAsia" w:eastAsiaTheme="minorEastAsia"/>
          <w:sz w:val="24"/>
        </w:rPr>
        <w:t>无论何种原因，即使供应商</w:t>
      </w:r>
      <w:r>
        <w:rPr>
          <w:rFonts w:hint="eastAsia" w:asciiTheme="minorEastAsia" w:hAnsiTheme="minorEastAsia" w:eastAsiaTheme="minorEastAsia"/>
          <w:sz w:val="24"/>
        </w:rPr>
        <w:t>磋商</w:t>
      </w:r>
      <w:r>
        <w:rPr>
          <w:rFonts w:asciiTheme="minorEastAsia" w:hAnsiTheme="minorEastAsia" w:eastAsiaTheme="minorEastAsia"/>
          <w:sz w:val="24"/>
        </w:rPr>
        <w:t>时携带了证书材料的原件，但响应文件中未提供与之内容完全一致的</w:t>
      </w:r>
      <w:r>
        <w:rPr>
          <w:rFonts w:hint="eastAsia" w:asciiTheme="minorEastAsia" w:hAnsiTheme="minorEastAsia" w:eastAsiaTheme="minorEastAsia"/>
          <w:sz w:val="24"/>
        </w:rPr>
        <w:t>扫描件</w:t>
      </w:r>
      <w:r>
        <w:rPr>
          <w:rFonts w:asciiTheme="minorEastAsia" w:hAnsiTheme="minorEastAsia" w:eastAsiaTheme="minorEastAsia"/>
          <w:sz w:val="24"/>
        </w:rPr>
        <w:t>的，</w:t>
      </w:r>
      <w:r>
        <w:rPr>
          <w:rFonts w:hint="eastAsia" w:asciiTheme="minorEastAsia" w:hAnsiTheme="minorEastAsia" w:eastAsiaTheme="minorEastAsia"/>
          <w:sz w:val="24"/>
        </w:rPr>
        <w:t>磋商</w:t>
      </w:r>
      <w:r>
        <w:rPr>
          <w:rFonts w:asciiTheme="minorEastAsia" w:hAnsiTheme="minorEastAsia" w:eastAsiaTheme="minorEastAsia"/>
          <w:sz w:val="24"/>
        </w:rPr>
        <w:t>小组可以视同其未提供。</w:t>
      </w:r>
    </w:p>
    <w:p w14:paraId="6799420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14.4.5磋商</w:t>
      </w:r>
      <w:r>
        <w:rPr>
          <w:rFonts w:asciiTheme="minorEastAsia" w:hAnsiTheme="minorEastAsia" w:eastAsiaTheme="minorEastAsia"/>
          <w:sz w:val="24"/>
        </w:rPr>
        <w:t>小组决定响应文件的响应性及符合性只根据响应文件本身的内容，而不寻求其他外部证据。</w:t>
      </w:r>
    </w:p>
    <w:p w14:paraId="2C48E73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供应商</w:t>
      </w:r>
      <w:r>
        <w:rPr>
          <w:rFonts w:hint="eastAsia" w:asciiTheme="minorEastAsia" w:hAnsiTheme="minorEastAsia" w:eastAsiaTheme="minorEastAsia"/>
          <w:sz w:val="24"/>
        </w:rPr>
        <w:t>授权</w:t>
      </w:r>
      <w:r>
        <w:rPr>
          <w:rFonts w:asciiTheme="minorEastAsia" w:hAnsiTheme="minorEastAsia" w:eastAsiaTheme="minorEastAsia"/>
          <w:sz w:val="24"/>
        </w:rPr>
        <w:t>代表对</w:t>
      </w:r>
      <w:r>
        <w:rPr>
          <w:rFonts w:hint="eastAsia" w:asciiTheme="minorEastAsia" w:hAnsiTheme="minorEastAsia" w:eastAsiaTheme="minorEastAsia"/>
          <w:sz w:val="24"/>
        </w:rPr>
        <w:t>磋商过程</w:t>
      </w:r>
      <w:r>
        <w:rPr>
          <w:rFonts w:asciiTheme="minorEastAsia" w:hAnsiTheme="minorEastAsia" w:eastAsiaTheme="minorEastAsia"/>
          <w:sz w:val="24"/>
        </w:rPr>
        <w:t>有疑义，以及认为采购人、采购代理机构相关工作人员有需要回避的情形的，应当场提出询问或者回避申请</w:t>
      </w:r>
      <w:r>
        <w:rPr>
          <w:rFonts w:hint="eastAsia" w:asciiTheme="minorEastAsia" w:hAnsiTheme="minorEastAsia" w:eastAsiaTheme="minorEastAsia"/>
          <w:sz w:val="24"/>
        </w:rPr>
        <w:t>，并说明理由。</w:t>
      </w:r>
      <w:r>
        <w:rPr>
          <w:rFonts w:asciiTheme="minorEastAsia" w:hAnsiTheme="minorEastAsia" w:eastAsiaTheme="minorEastAsia"/>
          <w:sz w:val="24"/>
        </w:rPr>
        <w:t xml:space="preserve"> </w:t>
      </w:r>
    </w:p>
    <w:p w14:paraId="457F146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.终止竞争性磋商</w:t>
      </w:r>
    </w:p>
    <w:p w14:paraId="23EDA19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15.1出现下列情况之一时，采购人和采购代理机构有权宣布终止竞争性磋商采购，并将理由通知所有供应商：</w:t>
      </w:r>
    </w:p>
    <w:p w14:paraId="5AB8C03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（1）有效供应商数量不足，导致本次磋商缺乏竞争的；</w:t>
      </w:r>
    </w:p>
    <w:p w14:paraId="4B5F58D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（2）出现影响采购公正的违法、违规行为的；</w:t>
      </w:r>
    </w:p>
    <w:p w14:paraId="21C2C57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（3）因重大变故，采购任务取消的；</w:t>
      </w:r>
    </w:p>
    <w:p w14:paraId="74F7FE9D">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（4）政府采购法律法规规定的其他情形。</w:t>
      </w:r>
    </w:p>
    <w:p w14:paraId="653EB37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16</w:t>
      </w:r>
      <w:r>
        <w:rPr>
          <w:rFonts w:asciiTheme="minorEastAsia" w:hAnsiTheme="minorEastAsia" w:eastAsiaTheme="minorEastAsia"/>
          <w:b/>
          <w:sz w:val="24"/>
        </w:rPr>
        <w:t>.响应文件的澄清、说明或</w:t>
      </w:r>
      <w:r>
        <w:rPr>
          <w:rFonts w:hint="eastAsia" w:asciiTheme="minorEastAsia" w:hAnsiTheme="minorEastAsia" w:eastAsiaTheme="minorEastAsia"/>
          <w:b/>
          <w:sz w:val="24"/>
        </w:rPr>
        <w:t>更正</w:t>
      </w:r>
    </w:p>
    <w:p w14:paraId="05CAE99E">
      <w:pPr>
        <w:spacing w:line="360" w:lineRule="auto"/>
        <w:ind w:firstLine="470" w:firstLineChars="196"/>
        <w:rPr>
          <w:rFonts w:ascii="宋体" w:hAnsi="宋体" w:eastAsia="宋体"/>
          <w:sz w:val="24"/>
        </w:rPr>
      </w:pPr>
      <w:r>
        <w:rPr>
          <w:rFonts w:hint="eastAsia" w:ascii="宋体" w:hAnsi="宋体" w:eastAsia="宋体"/>
          <w:sz w:val="24"/>
        </w:rPr>
        <w:t>16.1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69410145">
      <w:pPr>
        <w:spacing w:line="360" w:lineRule="auto"/>
        <w:ind w:firstLine="470" w:firstLineChars="196"/>
        <w:rPr>
          <w:rFonts w:ascii="宋体" w:hAnsi="宋体" w:eastAsia="宋体"/>
          <w:sz w:val="24"/>
        </w:rPr>
      </w:pPr>
      <w:r>
        <w:rPr>
          <w:rFonts w:hint="eastAsia" w:ascii="宋体" w:hAnsi="宋体" w:eastAsia="宋体"/>
          <w:sz w:val="24"/>
        </w:rPr>
        <w:t>16.2磋商小组要求供应商澄清、说明或者更正响应文件应当以书面形式（询标）作出。供应商的澄清、说明或者更正应当由法定代表人或其授权代表签字或者加盖公章。</w:t>
      </w:r>
    </w:p>
    <w:p w14:paraId="0FB87F9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17</w:t>
      </w:r>
      <w:r>
        <w:rPr>
          <w:rFonts w:asciiTheme="minorEastAsia" w:hAnsiTheme="minorEastAsia" w:eastAsiaTheme="minorEastAsia"/>
          <w:b/>
          <w:sz w:val="24"/>
        </w:rPr>
        <w:t>.最后报价</w:t>
      </w:r>
    </w:p>
    <w:p w14:paraId="6DD6705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17.1</w:t>
      </w:r>
      <w:r>
        <w:rPr>
          <w:rFonts w:asciiTheme="minorEastAsia" w:hAnsiTheme="minorEastAsia" w:eastAsiaTheme="minorEastAsia"/>
          <w:sz w:val="24"/>
        </w:rPr>
        <w:t>磋商并不限定只进行二轮报价，如果磋商小组认为有必要，可以要求供应商进行多轮报价。</w:t>
      </w:r>
      <w:r>
        <w:rPr>
          <w:rFonts w:hint="eastAsia" w:asciiTheme="minorEastAsia" w:hAnsiTheme="minorEastAsia" w:eastAsiaTheme="minorEastAsia"/>
          <w:sz w:val="24"/>
        </w:rPr>
        <w:t>（本项目约定为两次报价）</w:t>
      </w:r>
    </w:p>
    <w:p w14:paraId="30C2DF36">
      <w:pPr>
        <w:spacing w:line="360" w:lineRule="auto"/>
        <w:ind w:firstLine="435"/>
        <w:rPr>
          <w:rFonts w:asciiTheme="minorEastAsia" w:hAnsiTheme="minorEastAsia" w:eastAsiaTheme="minorEastAsia"/>
          <w:sz w:val="24"/>
        </w:rPr>
      </w:pPr>
      <w:r>
        <w:rPr>
          <w:rFonts w:hint="eastAsia" w:ascii="宋体" w:hAnsi="宋体" w:eastAsia="宋体" w:cstheme="minorBidi"/>
          <w:b/>
          <w:kern w:val="0"/>
          <w:sz w:val="24"/>
        </w:rPr>
        <w:t>本次磋商实行两次报价。第一次报价为供应商在响应文件中填报的报价，第二次报价在响应文件通过评审后，</w:t>
      </w:r>
      <w:r>
        <w:rPr>
          <w:rFonts w:hint="eastAsia" w:asciiTheme="minorEastAsia" w:hAnsiTheme="minorEastAsia" w:eastAsiaTheme="minorEastAsia"/>
          <w:b/>
          <w:bCs/>
          <w:sz w:val="24"/>
        </w:rPr>
        <w:t>由各供应商在询标规定的时间内，进行二次报价</w:t>
      </w:r>
      <w:r>
        <w:rPr>
          <w:rFonts w:hint="eastAsia" w:ascii="宋体" w:hAnsi="宋体" w:eastAsia="宋体" w:cstheme="minorBidi"/>
          <w:b/>
          <w:kern w:val="0"/>
          <w:sz w:val="24"/>
        </w:rPr>
        <w:t>。</w:t>
      </w:r>
      <w:r>
        <w:rPr>
          <w:rFonts w:hint="eastAsia" w:asciiTheme="minorEastAsia" w:hAnsiTheme="minorEastAsia" w:eastAsiaTheme="minorEastAsia"/>
          <w:b/>
          <w:bCs/>
          <w:sz w:val="24"/>
        </w:rPr>
        <w:t>第二次报价即为最后报价，若供应商未在规定的时间内进行二次报价（最后报价）或二次报价被</w:t>
      </w:r>
      <w:r>
        <w:rPr>
          <w:rFonts w:hint="eastAsia" w:ascii="宋体" w:hAnsi="宋体" w:eastAsia="宋体" w:cstheme="minorBidi"/>
          <w:b/>
          <w:kern w:val="0"/>
          <w:sz w:val="24"/>
        </w:rPr>
        <w:t>磋商小组认为不符合要求的，磋商小组默认其响应文件中填报的价格为供应商的最后报价，磋商价格分以供应商的最后报价为准，即满足磋商文件要求且最后报价最低的供应商的价格为磋商基准价，其价格分为满分。二次报价（最后报价）不得高于其一次报价，否则取消其磋商资格。采用分项报价的项目，最后报价的各分项结合一次报价中的各项单价按总价同比例下浮，价款结算时按成交下浮比率进行调整。</w:t>
      </w:r>
    </w:p>
    <w:p w14:paraId="0D6C437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17.2</w:t>
      </w:r>
      <w:r>
        <w:rPr>
          <w:rFonts w:asciiTheme="minorEastAsia" w:hAnsiTheme="minorEastAsia" w:eastAsiaTheme="minorEastAsia"/>
          <w:sz w:val="24"/>
        </w:rPr>
        <w:t>在磋商内容不做实质性变更或重大调整的前提下，供应商下轮报价不得高于上一轮报价</w:t>
      </w:r>
      <w:r>
        <w:rPr>
          <w:rFonts w:hint="eastAsia" w:asciiTheme="minorEastAsia" w:hAnsiTheme="minorEastAsia" w:eastAsiaTheme="minorEastAsia"/>
          <w:sz w:val="24"/>
        </w:rPr>
        <w:t>。</w:t>
      </w:r>
    </w:p>
    <w:p w14:paraId="21ED4FD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17.3</w:t>
      </w:r>
      <w:r>
        <w:rPr>
          <w:rFonts w:asciiTheme="minorEastAsia" w:hAnsiTheme="minorEastAsia" w:eastAsiaTheme="minorEastAsia"/>
          <w:sz w:val="24"/>
        </w:rPr>
        <w:t>最后报价是供应商响应文件的有效组成部分，最后报价也是签订合同的依据。</w:t>
      </w:r>
    </w:p>
    <w:p w14:paraId="164E4659">
      <w:pPr>
        <w:spacing w:line="360" w:lineRule="auto"/>
        <w:ind w:firstLine="435"/>
        <w:rPr>
          <w:rFonts w:asciiTheme="majorEastAsia" w:hAnsiTheme="majorEastAsia" w:eastAsiaTheme="majorEastAsia"/>
          <w:sz w:val="24"/>
        </w:rPr>
      </w:pPr>
      <w:bookmarkStart w:id="50" w:name="_Hlk60607655"/>
      <w:bookmarkStart w:id="51" w:name="_Hlk60607673"/>
      <w:r>
        <w:rPr>
          <w:rFonts w:hint="eastAsia" w:asciiTheme="majorEastAsia" w:hAnsiTheme="majorEastAsia" w:eastAsiaTheme="majorEastAsia"/>
          <w:sz w:val="24"/>
        </w:rPr>
        <w:t>17.</w:t>
      </w:r>
      <w:r>
        <w:rPr>
          <w:rFonts w:asciiTheme="majorEastAsia" w:hAnsiTheme="majorEastAsia" w:eastAsiaTheme="majorEastAsia"/>
          <w:sz w:val="24"/>
        </w:rPr>
        <w:t>4</w:t>
      </w:r>
      <w:r>
        <w:rPr>
          <w:rFonts w:hint="eastAsia" w:asciiTheme="majorEastAsia" w:hAnsiTheme="majorEastAsia" w:eastAsiaTheme="majorEastAsia"/>
          <w:sz w:val="24"/>
        </w:rPr>
        <w:t>根据《政府采购促进中小企业发展管理办法》（财库〔</w:t>
      </w:r>
      <w:r>
        <w:rPr>
          <w:rFonts w:asciiTheme="majorEastAsia" w:hAnsiTheme="majorEastAsia" w:eastAsiaTheme="majorEastAsia"/>
          <w:sz w:val="24"/>
        </w:rPr>
        <w:t>2020〕46号</w:t>
      </w:r>
      <w:r>
        <w:rPr>
          <w:rFonts w:hint="eastAsia" w:asciiTheme="majorEastAsia" w:hAnsiTheme="majorEastAsia" w:eastAsiaTheme="majorEastAsia"/>
          <w:sz w:val="24"/>
        </w:rPr>
        <w:t>）、《三部门联合发布关于促进残疾人就业政府采购政策的通知》（财库〔2017〕141号）和《</w:t>
      </w:r>
      <w:r>
        <w:rPr>
          <w:rFonts w:asciiTheme="majorEastAsia" w:hAnsiTheme="majorEastAsia" w:eastAsiaTheme="majorEastAsia"/>
          <w:sz w:val="24"/>
        </w:rPr>
        <w:t>财政部 司法部关于政府采购支持监狱企业发展有关问题的通知</w:t>
      </w:r>
      <w:r>
        <w:rPr>
          <w:rFonts w:hint="eastAsia" w:asciiTheme="majorEastAsia" w:hAnsiTheme="majorEastAsia" w:eastAsiaTheme="majorEastAsia"/>
          <w:sz w:val="24"/>
        </w:rPr>
        <w:t>》（财库〔2014〕68号）的规定，对满足价格扣除条件且在响应文件中提交了</w:t>
      </w:r>
      <w:r>
        <w:rPr>
          <w:rFonts w:asciiTheme="majorEastAsia" w:hAnsiTheme="majorEastAsia" w:eastAsiaTheme="majorEastAsia"/>
          <w:sz w:val="24"/>
        </w:rPr>
        <w:t>《中小企业声明函》</w:t>
      </w:r>
      <w:r>
        <w:rPr>
          <w:rFonts w:hint="eastAsia" w:asciiTheme="majorEastAsia" w:hAnsiTheme="majorEastAsia" w:eastAsiaTheme="majorEastAsia"/>
          <w:sz w:val="24"/>
        </w:rPr>
        <w:t>、</w:t>
      </w:r>
      <w:r>
        <w:rPr>
          <w:rFonts w:asciiTheme="majorEastAsia" w:hAnsiTheme="majorEastAsia" w:eastAsiaTheme="majorEastAsia"/>
          <w:sz w:val="24"/>
        </w:rPr>
        <w:t>《残疾人福利性单位声明函》</w:t>
      </w:r>
      <w:r>
        <w:rPr>
          <w:rFonts w:hint="eastAsia" w:asciiTheme="majorEastAsia" w:hAnsiTheme="majorEastAsia" w:eastAsiaTheme="majorEastAsia"/>
          <w:sz w:val="24"/>
        </w:rPr>
        <w:t>或省级以上监狱管理局、戒毒管理局（含新疆生产建设兵团）出具的属于监狱企业的证明文件的供应商，其最后报价按照</w:t>
      </w:r>
      <w:r>
        <w:rPr>
          <w:rFonts w:hint="eastAsia" w:asciiTheme="majorEastAsia" w:hAnsiTheme="majorEastAsia" w:eastAsiaTheme="majorEastAsia"/>
          <w:sz w:val="24"/>
          <w:u w:val="single"/>
        </w:rPr>
        <w:t>供应商须知前附表</w:t>
      </w:r>
      <w:r>
        <w:rPr>
          <w:rFonts w:hint="eastAsia" w:asciiTheme="majorEastAsia" w:hAnsiTheme="majorEastAsia" w:eastAsiaTheme="majorEastAsia"/>
          <w:sz w:val="24"/>
        </w:rPr>
        <w:t>中规定的标准扣除后的价格参与评审。对于同时属于小微企业、监狱企业或残疾人福利性单位的，不重复进行最后报价扣除。</w:t>
      </w:r>
    </w:p>
    <w:p w14:paraId="5DCCD922">
      <w:pPr>
        <w:spacing w:line="360" w:lineRule="auto"/>
        <w:ind w:firstLine="435"/>
        <w:rPr>
          <w:rFonts w:asciiTheme="majorEastAsia" w:hAnsiTheme="majorEastAsia" w:eastAsiaTheme="majorEastAsia"/>
          <w:sz w:val="24"/>
        </w:rPr>
      </w:pPr>
      <w:r>
        <w:rPr>
          <w:rFonts w:hint="eastAsia" w:asciiTheme="majorEastAsia" w:hAnsiTheme="majorEastAsia" w:eastAsiaTheme="majorEastAsia"/>
          <w:sz w:val="24"/>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sz w:val="24"/>
        </w:rPr>
        <w:t>30%以上的，可给予联合体或者大中型企业的</w:t>
      </w:r>
      <w:r>
        <w:rPr>
          <w:rFonts w:hint="eastAsia" w:asciiTheme="majorEastAsia" w:hAnsiTheme="majorEastAsia" w:eastAsiaTheme="majorEastAsia"/>
          <w:sz w:val="24"/>
        </w:rPr>
        <w:t>最后报价按照</w:t>
      </w:r>
      <w:r>
        <w:rPr>
          <w:rFonts w:hint="eastAsia" w:asciiTheme="majorEastAsia" w:hAnsiTheme="majorEastAsia" w:eastAsiaTheme="majorEastAsia"/>
          <w:sz w:val="24"/>
          <w:u w:val="single"/>
        </w:rPr>
        <w:t>供应商须知前附表</w:t>
      </w:r>
      <w:r>
        <w:rPr>
          <w:rFonts w:hint="eastAsia" w:asciiTheme="majorEastAsia" w:hAnsiTheme="majorEastAsia" w:eastAsiaTheme="majorEastAsia"/>
          <w:sz w:val="24"/>
        </w:rPr>
        <w:t>中规定的标准扣除后的价格参与评审</w:t>
      </w:r>
      <w:r>
        <w:rPr>
          <w:rFonts w:asciiTheme="majorEastAsia" w:hAnsiTheme="majorEastAsia" w:eastAsiaTheme="majorEastAsia"/>
          <w:sz w:val="24"/>
        </w:rPr>
        <w:t>。</w:t>
      </w:r>
      <w:r>
        <w:rPr>
          <w:rFonts w:hint="eastAsia" w:asciiTheme="majorEastAsia" w:hAnsiTheme="majorEastAsia" w:eastAsiaTheme="majorEastAsia"/>
          <w:sz w:val="24"/>
        </w:rPr>
        <w:t>组成联合体或者接受分包的小微企业与联合体内其他企业、分包企业之间存在直接控股、管理关系的，不享受价格扣除优惠政策。</w:t>
      </w:r>
    </w:p>
    <w:p w14:paraId="6C155992">
      <w:pPr>
        <w:spacing w:line="360" w:lineRule="auto"/>
        <w:ind w:firstLine="435"/>
        <w:rPr>
          <w:rFonts w:asciiTheme="minorEastAsia" w:hAnsiTheme="minorEastAsia" w:eastAsiaTheme="minorEastAsia"/>
          <w:sz w:val="24"/>
        </w:rPr>
      </w:pPr>
      <w:r>
        <w:rPr>
          <w:rFonts w:hint="eastAsia" w:asciiTheme="majorEastAsia" w:hAnsiTheme="majorEastAsia" w:eastAsiaTheme="majorEastAsia"/>
          <w:sz w:val="24"/>
        </w:rPr>
        <w:t>以联合体形式参加政府采购活动，联合体各方均为中小企业的，联合体视同中小企业。其中，联合体各方均为小微企业的，联合体视同小微企业。</w:t>
      </w:r>
      <w:bookmarkEnd w:id="50"/>
    </w:p>
    <w:bookmarkEnd w:id="51"/>
    <w:p w14:paraId="7C125F8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18</w:t>
      </w:r>
      <w:r>
        <w:rPr>
          <w:rFonts w:asciiTheme="minorEastAsia" w:hAnsiTheme="minorEastAsia" w:eastAsiaTheme="minorEastAsia"/>
          <w:b/>
          <w:sz w:val="24"/>
        </w:rPr>
        <w:t>.</w:t>
      </w:r>
      <w:r>
        <w:rPr>
          <w:rFonts w:hint="eastAsia" w:asciiTheme="minorEastAsia" w:hAnsiTheme="minorEastAsia" w:eastAsiaTheme="minorEastAsia"/>
          <w:b/>
          <w:sz w:val="24"/>
        </w:rPr>
        <w:t>成交候选供应商的推荐原则及标准</w:t>
      </w:r>
    </w:p>
    <w:p w14:paraId="449BFE4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w:t>
      </w:r>
      <w:r>
        <w:rPr>
          <w:rFonts w:asciiTheme="minorEastAsia" w:hAnsiTheme="minorEastAsia" w:eastAsiaTheme="minorEastAsia"/>
          <w:sz w:val="24"/>
        </w:rPr>
        <w:t>.</w:t>
      </w:r>
      <w:r>
        <w:rPr>
          <w:rFonts w:hint="eastAsia" w:asciiTheme="minorEastAsia" w:hAnsiTheme="minorEastAsia" w:eastAsiaTheme="minorEastAsia"/>
          <w:sz w:val="24"/>
        </w:rPr>
        <w:t>1磋商小组</w:t>
      </w:r>
      <w:r>
        <w:rPr>
          <w:rFonts w:asciiTheme="minorEastAsia" w:hAnsiTheme="minorEastAsia" w:eastAsiaTheme="minorEastAsia"/>
          <w:sz w:val="24"/>
        </w:rPr>
        <w:t>依据本项目</w:t>
      </w:r>
      <w:r>
        <w:rPr>
          <w:rFonts w:hint="eastAsia" w:asciiTheme="minorEastAsia" w:hAnsiTheme="minorEastAsia" w:eastAsiaTheme="minorEastAsia"/>
          <w:sz w:val="24"/>
        </w:rPr>
        <w:t>磋商</w:t>
      </w:r>
      <w:r>
        <w:rPr>
          <w:rFonts w:asciiTheme="minorEastAsia" w:hAnsiTheme="minorEastAsia" w:eastAsiaTheme="minorEastAsia"/>
          <w:sz w:val="24"/>
        </w:rPr>
        <w:t>文件所约定的</w:t>
      </w:r>
      <w:r>
        <w:rPr>
          <w:rFonts w:hint="eastAsia" w:asciiTheme="minorEastAsia" w:hAnsiTheme="minorEastAsia" w:eastAsiaTheme="minorEastAsia"/>
          <w:sz w:val="24"/>
        </w:rPr>
        <w:t>评审</w:t>
      </w:r>
      <w:r>
        <w:rPr>
          <w:rFonts w:asciiTheme="minorEastAsia" w:hAnsiTheme="minorEastAsia" w:eastAsiaTheme="minorEastAsia"/>
          <w:sz w:val="24"/>
        </w:rPr>
        <w:t>方法</w:t>
      </w:r>
      <w:r>
        <w:rPr>
          <w:rFonts w:hint="eastAsia" w:asciiTheme="minorEastAsia" w:hAnsiTheme="minorEastAsia" w:eastAsiaTheme="minorEastAsia"/>
          <w:sz w:val="24"/>
        </w:rPr>
        <w:t>和标准</w:t>
      </w:r>
      <w:r>
        <w:rPr>
          <w:rFonts w:asciiTheme="minorEastAsia" w:hAnsiTheme="minorEastAsia" w:eastAsiaTheme="minorEastAsia"/>
          <w:sz w:val="24"/>
        </w:rPr>
        <w:t>，</w:t>
      </w:r>
      <w:r>
        <w:rPr>
          <w:rFonts w:hint="eastAsia" w:asciiTheme="minorEastAsia" w:hAnsiTheme="minorEastAsia" w:eastAsiaTheme="minorEastAsia"/>
          <w:sz w:val="24"/>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756CB6E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确定成交候选供应商和成交供应商</w:t>
      </w:r>
    </w:p>
    <w:p w14:paraId="57ACBCA7">
      <w:pPr>
        <w:spacing w:line="360" w:lineRule="auto"/>
        <w:ind w:firstLine="435"/>
        <w:rPr>
          <w:rFonts w:asciiTheme="minorEastAsia" w:hAnsiTheme="minorEastAsia" w:eastAsiaTheme="minorEastAsia"/>
          <w:sz w:val="24"/>
        </w:rPr>
      </w:pPr>
      <w:r>
        <w:rPr>
          <w:rFonts w:hint="eastAsia" w:ascii="宋体" w:hAnsi="宋体" w:eastAsia="宋体"/>
          <w:sz w:val="24"/>
        </w:rPr>
        <w:t>19.1磋商小组根据综合评分的结果和</w:t>
      </w:r>
      <w:r>
        <w:rPr>
          <w:rFonts w:hint="eastAsia" w:asciiTheme="minorEastAsia" w:hAnsiTheme="minorEastAsia" w:eastAsiaTheme="minorEastAsia"/>
          <w:sz w:val="24"/>
          <w:u w:val="single"/>
        </w:rPr>
        <w:t>供应商</w:t>
      </w:r>
      <w:r>
        <w:rPr>
          <w:rFonts w:asciiTheme="minorEastAsia" w:hAnsiTheme="minorEastAsia" w:eastAsiaTheme="minorEastAsia"/>
          <w:sz w:val="24"/>
          <w:u w:val="single"/>
        </w:rPr>
        <w:t>须知前附表</w:t>
      </w:r>
      <w:r>
        <w:rPr>
          <w:rFonts w:asciiTheme="minorEastAsia" w:hAnsiTheme="minorEastAsia" w:eastAsiaTheme="minorEastAsia"/>
          <w:sz w:val="24"/>
        </w:rPr>
        <w:t>中规定</w:t>
      </w:r>
      <w:r>
        <w:rPr>
          <w:rFonts w:hint="eastAsia" w:ascii="宋体" w:hAnsi="宋体" w:eastAsia="宋体"/>
          <w:sz w:val="24"/>
        </w:rPr>
        <w:t>确定成交候选供应商，并标明排列顺序。</w:t>
      </w:r>
      <w:r>
        <w:rPr>
          <w:rFonts w:hint="eastAsia" w:asciiTheme="minorEastAsia" w:hAnsiTheme="minorEastAsia" w:eastAsiaTheme="minorEastAsia"/>
          <w:sz w:val="24"/>
        </w:rPr>
        <w:t>按</w:t>
      </w:r>
      <w:r>
        <w:rPr>
          <w:rFonts w:hint="eastAsia" w:asciiTheme="minorEastAsia" w:hAnsiTheme="minorEastAsia" w:eastAsiaTheme="minorEastAsia"/>
          <w:sz w:val="24"/>
          <w:u w:val="single"/>
        </w:rPr>
        <w:t>供应商</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w:t>
      </w:r>
      <w:r>
        <w:rPr>
          <w:rFonts w:hint="eastAsia" w:asciiTheme="minorEastAsia" w:hAnsiTheme="minorEastAsia" w:eastAsiaTheme="minorEastAsia"/>
          <w:sz w:val="24"/>
        </w:rPr>
        <w:t>磋商小组</w:t>
      </w:r>
      <w:r>
        <w:rPr>
          <w:rFonts w:asciiTheme="minorEastAsia" w:hAnsiTheme="minorEastAsia" w:eastAsiaTheme="minorEastAsia"/>
          <w:sz w:val="24"/>
        </w:rPr>
        <w:t>或采购人确定</w:t>
      </w:r>
      <w:r>
        <w:rPr>
          <w:rFonts w:hint="eastAsia" w:asciiTheme="minorEastAsia" w:hAnsiTheme="minorEastAsia" w:eastAsiaTheme="minorEastAsia"/>
          <w:sz w:val="24"/>
        </w:rPr>
        <w:t>成交供应商</w:t>
      </w:r>
      <w:r>
        <w:rPr>
          <w:rFonts w:asciiTheme="minorEastAsia" w:hAnsiTheme="minorEastAsia" w:eastAsiaTheme="minorEastAsia"/>
          <w:sz w:val="24"/>
        </w:rPr>
        <w:t>。</w:t>
      </w:r>
    </w:p>
    <w:p w14:paraId="3F04C6D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.编写评审报告</w:t>
      </w:r>
    </w:p>
    <w:p w14:paraId="28EAE91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20.1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48B035F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05B5C603">
      <w:pPr>
        <w:spacing w:line="360" w:lineRule="auto"/>
        <w:ind w:firstLine="435"/>
        <w:rPr>
          <w:rFonts w:ascii="宋体" w:hAnsi="宋体" w:eastAsia="宋体"/>
          <w:sz w:val="24"/>
        </w:rPr>
      </w:pPr>
      <w:r>
        <w:rPr>
          <w:rFonts w:hint="eastAsia" w:ascii="宋体" w:hAnsi="宋体" w:eastAsia="宋体"/>
          <w:sz w:val="24"/>
        </w:rPr>
        <w:t>21.1评审将在严格保密的情况下进行。</w:t>
      </w:r>
    </w:p>
    <w:p w14:paraId="4F283F6A">
      <w:pPr>
        <w:spacing w:line="360" w:lineRule="auto"/>
        <w:ind w:firstLine="435"/>
        <w:rPr>
          <w:rFonts w:ascii="宋体" w:hAnsi="宋体" w:eastAsia="宋体"/>
          <w:sz w:val="24"/>
        </w:rPr>
      </w:pPr>
      <w:r>
        <w:rPr>
          <w:rFonts w:hint="eastAsia" w:ascii="宋体" w:hAnsi="宋体" w:eastAsia="宋体"/>
          <w:sz w:val="24"/>
        </w:rPr>
        <w:t>21.2有关人员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w:t>
      </w:r>
      <w:r>
        <w:rPr>
          <w:rFonts w:hint="eastAsia" w:ascii="宋体" w:hAnsi="宋体" w:eastAsia="宋体"/>
          <w:sz w:val="24"/>
        </w:rPr>
        <w:t>评审</w:t>
      </w:r>
      <w:r>
        <w:rPr>
          <w:rFonts w:ascii="宋体" w:hAnsi="宋体" w:eastAsia="宋体"/>
          <w:sz w:val="24"/>
        </w:rPr>
        <w:t>工作纪律，不得</w:t>
      </w:r>
      <w:r>
        <w:rPr>
          <w:rFonts w:hint="eastAsia" w:ascii="宋体" w:hAnsi="宋体" w:eastAsia="宋体"/>
          <w:sz w:val="24"/>
        </w:rPr>
        <w:t>泄露评审文件</w:t>
      </w:r>
      <w:r>
        <w:rPr>
          <w:rFonts w:ascii="宋体" w:hAnsi="宋体" w:eastAsia="宋体"/>
          <w:sz w:val="24"/>
        </w:rPr>
        <w:t>、</w:t>
      </w:r>
      <w:r>
        <w:rPr>
          <w:rFonts w:hint="eastAsia" w:ascii="宋体" w:hAnsi="宋体" w:eastAsia="宋体"/>
          <w:sz w:val="24"/>
        </w:rPr>
        <w:t>评审</w:t>
      </w:r>
      <w:r>
        <w:rPr>
          <w:rFonts w:ascii="宋体" w:hAnsi="宋体" w:eastAsia="宋体"/>
          <w:sz w:val="24"/>
        </w:rPr>
        <w:t>情况和</w:t>
      </w:r>
      <w:r>
        <w:rPr>
          <w:rFonts w:hint="eastAsia" w:ascii="宋体" w:hAnsi="宋体" w:eastAsia="宋体"/>
          <w:sz w:val="24"/>
        </w:rPr>
        <w:t>评审</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7A51DA8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22</w:t>
      </w:r>
      <w:r>
        <w:rPr>
          <w:rFonts w:asciiTheme="minorEastAsia" w:hAnsiTheme="minorEastAsia" w:eastAsiaTheme="minorEastAsia"/>
          <w:b/>
          <w:sz w:val="24"/>
        </w:rPr>
        <w:t>.成交结果公告</w:t>
      </w:r>
    </w:p>
    <w:p w14:paraId="496FD4F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22</w:t>
      </w:r>
      <w:r>
        <w:rPr>
          <w:rFonts w:asciiTheme="minorEastAsia" w:hAnsiTheme="minorEastAsia" w:eastAsiaTheme="minorEastAsia"/>
          <w:sz w:val="24"/>
        </w:rPr>
        <w:t>.1为体现“公开、公平、公正”的原则，磋商结束后，</w:t>
      </w:r>
      <w:r>
        <w:rPr>
          <w:rFonts w:hint="eastAsia" w:asciiTheme="minorEastAsia" w:hAnsiTheme="minorEastAsia" w:eastAsiaTheme="minorEastAsia"/>
          <w:sz w:val="24"/>
        </w:rPr>
        <w:t>采购代理机构将在滁州市科学技术馆网上发布成交结果公告</w:t>
      </w:r>
      <w:r>
        <w:rPr>
          <w:rFonts w:asciiTheme="minorEastAsia" w:hAnsiTheme="minorEastAsia" w:eastAsiaTheme="minorEastAsia"/>
          <w:sz w:val="24"/>
        </w:rPr>
        <w:t>。</w:t>
      </w:r>
    </w:p>
    <w:p w14:paraId="2C257D3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22</w:t>
      </w:r>
      <w:r>
        <w:rPr>
          <w:rFonts w:asciiTheme="minorEastAsia" w:hAnsiTheme="minorEastAsia" w:eastAsiaTheme="minorEastAsia"/>
          <w:sz w:val="24"/>
        </w:rPr>
        <w:t>.2成交结果公告内容应当包括采购人及其委托的采购代理机构的名称、地址、联系方式，项目名称和项目编号，成交供应商名称、地址和成交金额，主要成交标的的名称、规格型号、数量、单价，成交结果公告期限、评审专家名单以及</w:t>
      </w:r>
      <w:r>
        <w:rPr>
          <w:rFonts w:hint="eastAsia" w:asciiTheme="minorEastAsia" w:hAnsiTheme="minorEastAsia" w:eastAsiaTheme="minorEastAsia"/>
          <w:sz w:val="24"/>
          <w:u w:val="single"/>
        </w:rPr>
        <w:t>供应商须知前附表</w:t>
      </w:r>
      <w:r>
        <w:rPr>
          <w:rFonts w:asciiTheme="minorEastAsia" w:hAnsiTheme="minorEastAsia" w:eastAsiaTheme="minorEastAsia"/>
          <w:sz w:val="24"/>
        </w:rPr>
        <w:t>中约定进行公告的内容。</w:t>
      </w:r>
    </w:p>
    <w:p w14:paraId="1362C0F6">
      <w:pPr>
        <w:spacing w:line="360" w:lineRule="auto"/>
        <w:ind w:firstLine="437"/>
        <w:outlineLvl w:val="2"/>
        <w:rPr>
          <w:rFonts w:ascii="宋体" w:hAnsi="宋体" w:eastAsia="宋体"/>
          <w:b/>
          <w:sz w:val="24"/>
        </w:rPr>
      </w:pPr>
      <w:r>
        <w:rPr>
          <w:rFonts w:hint="eastAsia" w:ascii="宋体" w:hAnsi="宋体" w:eastAsia="宋体"/>
          <w:b/>
          <w:sz w:val="24"/>
        </w:rPr>
        <w:t>23</w:t>
      </w:r>
      <w:r>
        <w:rPr>
          <w:rFonts w:ascii="宋体" w:hAnsi="宋体" w:eastAsia="宋体"/>
          <w:b/>
          <w:sz w:val="24"/>
        </w:rPr>
        <w:t>.成交</w:t>
      </w:r>
      <w:r>
        <w:rPr>
          <w:rFonts w:asciiTheme="minorEastAsia" w:hAnsiTheme="minorEastAsia" w:eastAsiaTheme="minorEastAsia"/>
          <w:b/>
          <w:sz w:val="24"/>
        </w:rPr>
        <w:t>通知书</w:t>
      </w:r>
    </w:p>
    <w:p w14:paraId="199978B5">
      <w:pPr>
        <w:spacing w:line="360" w:lineRule="auto"/>
        <w:ind w:firstLine="435"/>
        <w:rPr>
          <w:rFonts w:ascii="宋体" w:hAnsi="宋体" w:eastAsia="宋体"/>
          <w:sz w:val="24"/>
        </w:rPr>
      </w:pPr>
      <w:r>
        <w:rPr>
          <w:rFonts w:hint="eastAsia" w:ascii="宋体" w:hAnsi="宋体" w:eastAsia="宋体"/>
          <w:sz w:val="24"/>
        </w:rPr>
        <w:t>23</w:t>
      </w:r>
      <w:r>
        <w:rPr>
          <w:rFonts w:ascii="宋体" w:hAnsi="宋体" w:eastAsia="宋体"/>
          <w:sz w:val="24"/>
        </w:rPr>
        <w:t>.1采购代理机构发布成交结果公告的同时</w:t>
      </w:r>
      <w:r>
        <w:rPr>
          <w:rFonts w:asciiTheme="minorEastAsia" w:hAnsiTheme="minorEastAsia" w:eastAsiaTheme="minorEastAsia"/>
          <w:sz w:val="24"/>
        </w:rPr>
        <w:t>以</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rFonts w:ascii="宋体" w:hAnsi="宋体" w:eastAsia="宋体"/>
          <w:sz w:val="24"/>
        </w:rPr>
        <w:t>向成交供应商发出成交通知书。</w:t>
      </w:r>
      <w:r>
        <w:rPr>
          <w:rFonts w:hint="eastAsia" w:ascii="宋体" w:hAnsi="宋体" w:eastAsia="宋体"/>
          <w:sz w:val="24"/>
        </w:rPr>
        <w:t>成交通知书须加盖采购人、采购代理机构公章并经公共资源交易中心加盖见证章后，方可发出。</w:t>
      </w:r>
    </w:p>
    <w:p w14:paraId="1B280CC2">
      <w:pPr>
        <w:spacing w:line="360" w:lineRule="auto"/>
        <w:ind w:firstLine="435"/>
        <w:rPr>
          <w:rFonts w:ascii="宋体" w:hAnsi="宋体" w:eastAsia="宋体"/>
          <w:sz w:val="24"/>
        </w:rPr>
      </w:pPr>
      <w:r>
        <w:rPr>
          <w:rFonts w:hint="eastAsia" w:ascii="宋体" w:hAnsi="宋体" w:eastAsia="宋体"/>
          <w:sz w:val="24"/>
        </w:rPr>
        <w:t>23</w:t>
      </w:r>
      <w:r>
        <w:rPr>
          <w:rFonts w:ascii="宋体" w:hAnsi="宋体" w:eastAsia="宋体"/>
          <w:sz w:val="24"/>
        </w:rPr>
        <w:t>.2成交通知书对采购人和成交供应商具有同等法律效力。成交通知书发出以后，采购人改变成交结果或者成交供应商放弃成交资格，应当承担相应的法律责任。</w:t>
      </w:r>
    </w:p>
    <w:p w14:paraId="5AFD406A">
      <w:pPr>
        <w:spacing w:line="360" w:lineRule="auto"/>
        <w:ind w:firstLine="435"/>
        <w:rPr>
          <w:rFonts w:ascii="宋体" w:hAnsi="宋体" w:eastAsia="宋体"/>
          <w:sz w:val="24"/>
        </w:rPr>
      </w:pPr>
      <w:r>
        <w:rPr>
          <w:rFonts w:hint="eastAsia" w:ascii="宋体" w:hAnsi="宋体" w:eastAsia="宋体"/>
          <w:sz w:val="24"/>
        </w:rPr>
        <w:t>23</w:t>
      </w:r>
      <w:r>
        <w:rPr>
          <w:rFonts w:ascii="宋体" w:hAnsi="宋体" w:eastAsia="宋体"/>
          <w:sz w:val="24"/>
        </w:rPr>
        <w:t>.3成交通知书是合同的组成部分。</w:t>
      </w:r>
    </w:p>
    <w:p w14:paraId="30F6B585">
      <w:pPr>
        <w:spacing w:line="360" w:lineRule="auto"/>
        <w:ind w:firstLine="437"/>
        <w:outlineLvl w:val="2"/>
        <w:rPr>
          <w:rFonts w:ascii="宋体" w:hAnsi="宋体" w:eastAsia="宋体"/>
          <w:b/>
          <w:sz w:val="24"/>
        </w:rPr>
      </w:pPr>
      <w:r>
        <w:rPr>
          <w:rFonts w:hint="eastAsia" w:ascii="宋体" w:hAnsi="宋体" w:eastAsia="宋体"/>
          <w:b/>
          <w:sz w:val="24"/>
        </w:rPr>
        <w:t>24</w:t>
      </w:r>
      <w:r>
        <w:rPr>
          <w:rFonts w:ascii="宋体" w:hAnsi="宋体" w:eastAsia="宋体"/>
          <w:b/>
          <w:sz w:val="24"/>
        </w:rPr>
        <w:t>.告知</w:t>
      </w:r>
      <w:r>
        <w:rPr>
          <w:rFonts w:hint="eastAsia" w:ascii="宋体" w:hAnsi="宋体" w:eastAsia="宋体"/>
          <w:b/>
          <w:sz w:val="24"/>
        </w:rPr>
        <w:t>磋商</w:t>
      </w:r>
      <w:r>
        <w:rPr>
          <w:rFonts w:ascii="宋体" w:hAnsi="宋体" w:eastAsia="宋体"/>
          <w:b/>
          <w:sz w:val="24"/>
        </w:rPr>
        <w:t>结果</w:t>
      </w:r>
    </w:p>
    <w:p w14:paraId="1291CC4D">
      <w:pPr>
        <w:spacing w:line="360" w:lineRule="auto"/>
        <w:ind w:firstLine="435"/>
        <w:rPr>
          <w:rFonts w:ascii="宋体" w:hAnsi="宋体" w:eastAsia="宋体"/>
          <w:sz w:val="24"/>
        </w:rPr>
      </w:pPr>
      <w:r>
        <w:rPr>
          <w:rFonts w:hint="eastAsia" w:ascii="宋体" w:hAnsi="宋体" w:eastAsia="宋体"/>
          <w:sz w:val="24"/>
        </w:rPr>
        <w:t>24</w:t>
      </w:r>
      <w:r>
        <w:rPr>
          <w:rFonts w:ascii="宋体" w:hAnsi="宋体" w:eastAsia="宋体"/>
          <w:sz w:val="24"/>
        </w:rPr>
        <w:t>.1在公告</w:t>
      </w:r>
      <w:r>
        <w:rPr>
          <w:rFonts w:hint="eastAsia" w:ascii="宋体" w:hAnsi="宋体" w:eastAsia="宋体"/>
          <w:sz w:val="24"/>
        </w:rPr>
        <w:t>成交</w:t>
      </w:r>
      <w:r>
        <w:rPr>
          <w:rFonts w:ascii="宋体" w:hAnsi="宋体" w:eastAsia="宋体"/>
          <w:sz w:val="24"/>
        </w:rPr>
        <w:t>结果的同时，采购代理机构同时以</w:t>
      </w:r>
      <w:r>
        <w:rPr>
          <w:rFonts w:hint="eastAsia" w:ascii="宋体" w:hAnsi="宋体" w:eastAsia="宋体"/>
          <w:sz w:val="24"/>
          <w:u w:val="single"/>
        </w:rPr>
        <w:t>供应商</w:t>
      </w:r>
      <w:r>
        <w:rPr>
          <w:rFonts w:ascii="宋体" w:hAnsi="宋体" w:eastAsia="宋体"/>
          <w:sz w:val="24"/>
          <w:u w:val="single"/>
        </w:rPr>
        <w:t>须知前附表</w:t>
      </w:r>
      <w:r>
        <w:rPr>
          <w:rFonts w:ascii="宋体" w:hAnsi="宋体" w:eastAsia="宋体"/>
          <w:sz w:val="24"/>
        </w:rPr>
        <w:t>规定的形式告知未</w:t>
      </w:r>
      <w:r>
        <w:rPr>
          <w:rFonts w:hint="eastAsia" w:ascii="宋体" w:hAnsi="宋体" w:eastAsia="宋体"/>
          <w:sz w:val="24"/>
        </w:rPr>
        <w:t>成交供应商</w:t>
      </w:r>
      <w:r>
        <w:rPr>
          <w:rFonts w:ascii="宋体" w:hAnsi="宋体" w:eastAsia="宋体"/>
          <w:sz w:val="24"/>
        </w:rPr>
        <w:t>本人的评审得分和排序。</w:t>
      </w:r>
    </w:p>
    <w:p w14:paraId="505D4B69">
      <w:pPr>
        <w:spacing w:line="360" w:lineRule="auto"/>
        <w:ind w:firstLine="480" w:firstLineChars="200"/>
        <w:rPr>
          <w:rFonts w:ascii="宋体" w:hAnsi="宋体" w:eastAsia="宋体"/>
          <w:sz w:val="24"/>
        </w:rPr>
      </w:pPr>
      <w:r>
        <w:rPr>
          <w:rFonts w:hint="eastAsia" w:ascii="宋体" w:hAnsi="宋体" w:eastAsia="宋体"/>
          <w:sz w:val="24"/>
        </w:rPr>
        <w:t>24</w:t>
      </w:r>
      <w:r>
        <w:rPr>
          <w:rFonts w:ascii="宋体" w:hAnsi="宋体" w:eastAsia="宋体"/>
          <w:sz w:val="24"/>
        </w:rPr>
        <w:t>.</w:t>
      </w:r>
      <w:r>
        <w:rPr>
          <w:rFonts w:hint="eastAsia" w:ascii="宋体" w:hAnsi="宋体" w:eastAsia="宋体"/>
          <w:sz w:val="24"/>
        </w:rPr>
        <w:t>2</w:t>
      </w:r>
      <w:r>
        <w:rPr>
          <w:rFonts w:ascii="宋体" w:hAnsi="宋体" w:eastAsia="宋体"/>
          <w:sz w:val="24"/>
        </w:rPr>
        <w:t>采购代理机构对未成交的供应商不做未成交原因的解释。</w:t>
      </w:r>
    </w:p>
    <w:p w14:paraId="534D08B5">
      <w:pPr>
        <w:spacing w:line="360" w:lineRule="auto"/>
        <w:ind w:firstLine="437"/>
        <w:outlineLvl w:val="2"/>
        <w:rPr>
          <w:rFonts w:ascii="宋体" w:hAnsi="宋体" w:eastAsia="宋体"/>
          <w:b/>
          <w:sz w:val="24"/>
        </w:rPr>
      </w:pPr>
      <w:r>
        <w:rPr>
          <w:rFonts w:hint="eastAsia" w:ascii="宋体" w:hAnsi="宋体" w:eastAsia="宋体"/>
          <w:b/>
          <w:sz w:val="24"/>
        </w:rPr>
        <w:t>25</w:t>
      </w:r>
      <w:r>
        <w:rPr>
          <w:rFonts w:ascii="宋体" w:hAnsi="宋体" w:eastAsia="宋体"/>
          <w:b/>
          <w:sz w:val="24"/>
        </w:rPr>
        <w:t>.履约保证金</w:t>
      </w:r>
    </w:p>
    <w:p w14:paraId="44AD2819">
      <w:pPr>
        <w:spacing w:line="360" w:lineRule="auto"/>
        <w:ind w:firstLine="435"/>
        <w:rPr>
          <w:rFonts w:ascii="宋体" w:hAnsi="宋体" w:eastAsia="宋体"/>
          <w:sz w:val="24"/>
        </w:rPr>
      </w:pPr>
      <w:r>
        <w:rPr>
          <w:rFonts w:hint="eastAsia" w:ascii="宋体" w:hAnsi="宋体" w:eastAsia="宋体"/>
          <w:sz w:val="24"/>
        </w:rPr>
        <w:t>25</w:t>
      </w:r>
      <w:r>
        <w:rPr>
          <w:rFonts w:ascii="宋体" w:hAnsi="宋体" w:eastAsia="宋体"/>
          <w:sz w:val="24"/>
        </w:rPr>
        <w:t>.1成交供应商应按照</w:t>
      </w:r>
      <w:r>
        <w:rPr>
          <w:rFonts w:ascii="宋体" w:hAnsi="宋体" w:eastAsia="宋体"/>
          <w:sz w:val="24"/>
          <w:u w:val="single"/>
        </w:rPr>
        <w:t>供应商须知前附表</w:t>
      </w:r>
      <w:r>
        <w:rPr>
          <w:rFonts w:ascii="宋体" w:hAnsi="宋体" w:eastAsia="宋体"/>
          <w:sz w:val="24"/>
        </w:rPr>
        <w:t>规定</w:t>
      </w:r>
      <w:r>
        <w:rPr>
          <w:rFonts w:hint="eastAsia" w:ascii="宋体" w:hAnsi="宋体" w:eastAsia="宋体"/>
          <w:sz w:val="24"/>
        </w:rPr>
        <w:t>缴纳</w:t>
      </w:r>
      <w:r>
        <w:rPr>
          <w:rFonts w:ascii="宋体" w:hAnsi="宋体" w:eastAsia="宋体"/>
          <w:sz w:val="24"/>
        </w:rPr>
        <w:t>履约保证金。</w:t>
      </w:r>
    </w:p>
    <w:p w14:paraId="550607B0">
      <w:pPr>
        <w:spacing w:line="360" w:lineRule="auto"/>
        <w:ind w:firstLine="435"/>
        <w:rPr>
          <w:rFonts w:ascii="宋体" w:hAnsi="宋体" w:eastAsia="宋体"/>
          <w:sz w:val="24"/>
        </w:rPr>
      </w:pPr>
      <w:r>
        <w:rPr>
          <w:rFonts w:hint="eastAsia" w:ascii="宋体" w:hAnsi="宋体" w:eastAsia="宋体"/>
          <w:sz w:val="24"/>
        </w:rPr>
        <w:t>25</w:t>
      </w:r>
      <w:r>
        <w:rPr>
          <w:rFonts w:ascii="宋体" w:hAnsi="宋体" w:eastAsia="宋体"/>
          <w:sz w:val="24"/>
        </w:rPr>
        <w:t>.2如果成交供应商没有按照上述履约保证金的规定执行，将视为放弃成交资格。在此情况下，采购人可确定下一成交候选供应商为成交供应商，也可以重新开展采购活动。</w:t>
      </w:r>
    </w:p>
    <w:p w14:paraId="2B0354CF">
      <w:pPr>
        <w:spacing w:line="360" w:lineRule="auto"/>
        <w:ind w:firstLine="437"/>
        <w:outlineLvl w:val="2"/>
        <w:rPr>
          <w:rFonts w:ascii="宋体" w:hAnsi="宋体" w:eastAsia="宋体"/>
          <w:b/>
          <w:sz w:val="24"/>
        </w:rPr>
      </w:pPr>
      <w:r>
        <w:rPr>
          <w:rFonts w:hint="eastAsia" w:ascii="宋体" w:hAnsi="宋体" w:eastAsia="宋体"/>
          <w:b/>
          <w:sz w:val="24"/>
        </w:rPr>
        <w:t>26</w:t>
      </w:r>
      <w:r>
        <w:rPr>
          <w:rFonts w:ascii="宋体" w:hAnsi="宋体" w:eastAsia="宋体"/>
          <w:b/>
          <w:sz w:val="24"/>
        </w:rPr>
        <w:t>.</w:t>
      </w:r>
      <w:r>
        <w:rPr>
          <w:rFonts w:hint="eastAsia" w:ascii="宋体" w:hAnsi="宋体" w:eastAsia="宋体"/>
          <w:b/>
          <w:sz w:val="24"/>
        </w:rPr>
        <w:t>代理费用</w:t>
      </w:r>
    </w:p>
    <w:p w14:paraId="36B635C8">
      <w:pPr>
        <w:spacing w:line="360" w:lineRule="auto"/>
        <w:ind w:firstLine="435"/>
        <w:rPr>
          <w:rFonts w:ascii="宋体" w:hAnsi="宋体" w:eastAsia="宋体"/>
          <w:sz w:val="24"/>
        </w:rPr>
      </w:pPr>
      <w:r>
        <w:rPr>
          <w:rFonts w:hint="eastAsia" w:ascii="宋体" w:hAnsi="宋体" w:eastAsia="宋体"/>
          <w:sz w:val="24"/>
        </w:rPr>
        <w:t>26</w:t>
      </w:r>
      <w:r>
        <w:rPr>
          <w:rFonts w:ascii="宋体" w:hAnsi="宋体" w:eastAsia="宋体"/>
          <w:sz w:val="24"/>
        </w:rPr>
        <w:t>.1本项目</w:t>
      </w:r>
      <w:r>
        <w:rPr>
          <w:rFonts w:hint="eastAsia" w:ascii="宋体" w:hAnsi="宋体" w:eastAsia="宋体"/>
          <w:sz w:val="24"/>
        </w:rPr>
        <w:t>代理费用</w:t>
      </w:r>
      <w:r>
        <w:rPr>
          <w:rFonts w:ascii="宋体" w:hAnsi="宋体" w:eastAsia="宋体"/>
          <w:sz w:val="24"/>
        </w:rPr>
        <w:t>的收取按</w:t>
      </w:r>
      <w:r>
        <w:rPr>
          <w:rFonts w:hint="eastAsia" w:ascii="宋体" w:hAnsi="宋体" w:eastAsia="宋体"/>
          <w:sz w:val="24"/>
          <w:u w:val="single"/>
        </w:rPr>
        <w:t>供应商</w:t>
      </w:r>
      <w:r>
        <w:rPr>
          <w:rFonts w:ascii="宋体" w:hAnsi="宋体" w:eastAsia="宋体"/>
          <w:sz w:val="24"/>
          <w:u w:val="single"/>
        </w:rPr>
        <w:t>须知前附表</w:t>
      </w:r>
      <w:r>
        <w:rPr>
          <w:rFonts w:ascii="宋体" w:hAnsi="宋体" w:eastAsia="宋体"/>
          <w:sz w:val="24"/>
        </w:rPr>
        <w:t>的规定执行。</w:t>
      </w:r>
    </w:p>
    <w:p w14:paraId="1ED2C957">
      <w:pPr>
        <w:spacing w:line="360" w:lineRule="auto"/>
        <w:ind w:firstLine="437"/>
        <w:outlineLvl w:val="2"/>
        <w:rPr>
          <w:rFonts w:ascii="宋体" w:hAnsi="宋体" w:eastAsia="宋体"/>
          <w:b/>
          <w:sz w:val="24"/>
        </w:rPr>
      </w:pPr>
      <w:r>
        <w:rPr>
          <w:rFonts w:hint="eastAsia" w:ascii="宋体" w:hAnsi="宋体" w:eastAsia="宋体"/>
          <w:b/>
          <w:sz w:val="24"/>
        </w:rPr>
        <w:t>27</w:t>
      </w:r>
      <w:r>
        <w:rPr>
          <w:rFonts w:ascii="宋体" w:hAnsi="宋体" w:eastAsia="宋体"/>
          <w:b/>
          <w:sz w:val="24"/>
        </w:rPr>
        <w:t>.签订</w:t>
      </w:r>
      <w:r>
        <w:rPr>
          <w:rFonts w:asciiTheme="minorEastAsia" w:hAnsiTheme="minorEastAsia" w:eastAsiaTheme="minorEastAsia"/>
          <w:b/>
          <w:sz w:val="24"/>
        </w:rPr>
        <w:t>合同</w:t>
      </w:r>
    </w:p>
    <w:p w14:paraId="2595EB14">
      <w:pPr>
        <w:spacing w:line="360" w:lineRule="auto"/>
        <w:ind w:firstLine="435"/>
        <w:rPr>
          <w:rFonts w:ascii="宋体" w:hAnsi="宋体" w:eastAsia="宋体"/>
          <w:sz w:val="24"/>
        </w:rPr>
      </w:pPr>
      <w:r>
        <w:rPr>
          <w:rFonts w:hint="eastAsia" w:ascii="宋体" w:hAnsi="宋体" w:eastAsia="宋体"/>
          <w:sz w:val="24"/>
        </w:rPr>
        <w:t>27</w:t>
      </w:r>
      <w:r>
        <w:rPr>
          <w:rFonts w:ascii="宋体" w:hAnsi="宋体" w:eastAsia="宋体"/>
          <w:sz w:val="24"/>
        </w:rPr>
        <w:t>.1</w:t>
      </w:r>
      <w:r>
        <w:rPr>
          <w:rFonts w:hint="eastAsia" w:ascii="宋体" w:hAnsi="宋体" w:eastAsia="宋体" w:cs="宋体"/>
          <w:sz w:val="24"/>
          <w:szCs w:val="24"/>
        </w:rPr>
        <w:t>采购人与成交供应商应当按照</w:t>
      </w:r>
      <w:r>
        <w:rPr>
          <w:rFonts w:hint="eastAsia" w:ascii="宋体" w:hAnsi="宋体" w:eastAsia="宋体" w:cs="宋体"/>
          <w:sz w:val="24"/>
          <w:szCs w:val="24"/>
          <w:u w:val="single"/>
        </w:rPr>
        <w:t>供应商须知前附表</w:t>
      </w:r>
      <w:r>
        <w:rPr>
          <w:rFonts w:hint="eastAsia" w:ascii="宋体" w:hAnsi="宋体" w:eastAsia="宋体" w:cs="宋体"/>
          <w:sz w:val="24"/>
          <w:szCs w:val="24"/>
        </w:rPr>
        <w:t>规定的时间内完成政府采购合同签订及合同公告。</w:t>
      </w:r>
    </w:p>
    <w:p w14:paraId="16F43D2B">
      <w:pPr>
        <w:spacing w:line="360" w:lineRule="auto"/>
        <w:ind w:firstLine="480" w:firstLineChars="200"/>
        <w:rPr>
          <w:rFonts w:ascii="宋体" w:hAnsi="宋体" w:eastAsia="宋体"/>
          <w:sz w:val="24"/>
        </w:rPr>
      </w:pPr>
      <w:r>
        <w:rPr>
          <w:rFonts w:hint="eastAsia" w:ascii="宋体" w:hAnsi="宋体" w:eastAsia="宋体"/>
          <w:sz w:val="24"/>
        </w:rPr>
        <w:t>27</w:t>
      </w:r>
      <w:r>
        <w:rPr>
          <w:rFonts w:ascii="宋体" w:hAnsi="宋体" w:eastAsia="宋体"/>
          <w:sz w:val="24"/>
        </w:rPr>
        <w:t>.2磋商文件、成交供应商的响应文件及其澄清文件等，均为签订合同的依据。</w:t>
      </w:r>
    </w:p>
    <w:p w14:paraId="5B3432FD">
      <w:pPr>
        <w:spacing w:line="360" w:lineRule="auto"/>
        <w:ind w:firstLine="480" w:firstLineChars="200"/>
        <w:rPr>
          <w:rFonts w:ascii="宋体" w:hAnsi="宋体" w:eastAsia="宋体"/>
          <w:sz w:val="24"/>
        </w:rPr>
      </w:pPr>
      <w:r>
        <w:rPr>
          <w:rFonts w:hint="eastAsia" w:ascii="宋体" w:hAnsi="宋体" w:eastAsia="宋体"/>
          <w:sz w:val="24"/>
        </w:rPr>
        <w:t>27</w:t>
      </w:r>
      <w:r>
        <w:rPr>
          <w:rFonts w:ascii="宋体" w:hAnsi="宋体" w:eastAsia="宋体"/>
          <w:sz w:val="24"/>
        </w:rPr>
        <w:t>.3成交供应商拒绝与采购人签订合同的，采购人可以按照评审报告推荐的成交候选供应商名单排序，确定下一成交候选供应商为成交供应商，也可以重新开展采购活动。</w:t>
      </w:r>
      <w:r>
        <w:rPr>
          <w:rFonts w:hint="eastAsia" w:ascii="宋体" w:hAnsi="宋体" w:eastAsia="宋体"/>
          <w:sz w:val="24"/>
        </w:rPr>
        <w:t>成交供应商拒绝签订政府采购合同的不得参加对该项目重新开展的采购活动。</w:t>
      </w:r>
    </w:p>
    <w:p w14:paraId="3B2D0D06">
      <w:pPr>
        <w:spacing w:line="360" w:lineRule="auto"/>
        <w:ind w:firstLine="470" w:firstLineChars="196"/>
        <w:rPr>
          <w:rFonts w:ascii="宋体" w:hAnsi="宋体" w:eastAsia="宋体"/>
          <w:sz w:val="24"/>
        </w:rPr>
      </w:pPr>
      <w:bookmarkStart w:id="52" w:name="_Hlk60264926"/>
      <w:r>
        <w:rPr>
          <w:rFonts w:hint="eastAsia" w:ascii="宋体" w:hAnsi="宋体" w:eastAsia="宋体"/>
          <w:sz w:val="24"/>
        </w:rPr>
        <w:t>27.</w:t>
      </w:r>
      <w:r>
        <w:rPr>
          <w:rFonts w:ascii="宋体" w:hAnsi="宋体" w:eastAsia="宋体"/>
          <w:sz w:val="24"/>
        </w:rPr>
        <w:t>4</w:t>
      </w:r>
      <w:r>
        <w:rPr>
          <w:rFonts w:hint="eastAsia" w:ascii="宋体" w:hAnsi="宋体" w:eastAsia="宋体"/>
          <w:sz w:val="24"/>
        </w:rPr>
        <w:t>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bookmarkEnd w:id="52"/>
    </w:p>
    <w:p w14:paraId="1BACAEDB">
      <w:pPr>
        <w:spacing w:line="360" w:lineRule="auto"/>
        <w:ind w:firstLine="437"/>
        <w:outlineLvl w:val="2"/>
        <w:rPr>
          <w:rFonts w:ascii="宋体" w:hAnsi="宋体" w:eastAsia="宋体"/>
          <w:b/>
          <w:sz w:val="24"/>
        </w:rPr>
      </w:pPr>
      <w:r>
        <w:rPr>
          <w:rFonts w:hint="eastAsia" w:ascii="宋体" w:hAnsi="宋体" w:eastAsia="宋体"/>
          <w:b/>
          <w:sz w:val="24"/>
        </w:rPr>
        <w:t>28</w:t>
      </w:r>
      <w:r>
        <w:rPr>
          <w:rFonts w:ascii="宋体" w:hAnsi="宋体" w:eastAsia="宋体"/>
          <w:b/>
          <w:sz w:val="24"/>
        </w:rPr>
        <w:t>.廉洁</w:t>
      </w:r>
      <w:r>
        <w:rPr>
          <w:rFonts w:asciiTheme="minorEastAsia" w:hAnsiTheme="minorEastAsia" w:eastAsiaTheme="minorEastAsia"/>
          <w:b/>
          <w:sz w:val="24"/>
        </w:rPr>
        <w:t>自律</w:t>
      </w:r>
      <w:r>
        <w:rPr>
          <w:rFonts w:ascii="宋体" w:hAnsi="宋体" w:eastAsia="宋体"/>
          <w:b/>
          <w:sz w:val="24"/>
        </w:rPr>
        <w:t>规定</w:t>
      </w:r>
    </w:p>
    <w:p w14:paraId="3D32ED30">
      <w:pPr>
        <w:spacing w:line="360" w:lineRule="auto"/>
        <w:ind w:firstLine="435"/>
        <w:rPr>
          <w:rFonts w:ascii="宋体" w:hAnsi="宋体" w:eastAsia="宋体"/>
          <w:sz w:val="24"/>
        </w:rPr>
      </w:pPr>
      <w:r>
        <w:rPr>
          <w:rFonts w:hint="eastAsia" w:ascii="宋体" w:hAnsi="宋体" w:eastAsia="宋体"/>
          <w:sz w:val="24"/>
        </w:rPr>
        <w:t>28</w:t>
      </w:r>
      <w:r>
        <w:rPr>
          <w:rFonts w:ascii="宋体" w:hAnsi="宋体" w:eastAsia="宋体"/>
          <w:sz w:val="24"/>
        </w:rPr>
        <w:t>.1采购代理机构工作人员不得以不正当手段获取政府采购代理业务，不得与采购人、供应商恶意串通。</w:t>
      </w:r>
    </w:p>
    <w:p w14:paraId="38EB4880">
      <w:pPr>
        <w:spacing w:line="360" w:lineRule="auto"/>
        <w:ind w:firstLine="435"/>
        <w:rPr>
          <w:rFonts w:ascii="宋体" w:hAnsi="宋体" w:eastAsia="宋体"/>
          <w:sz w:val="24"/>
        </w:rPr>
      </w:pPr>
      <w:r>
        <w:rPr>
          <w:rFonts w:hint="eastAsia" w:ascii="宋体" w:hAnsi="宋体" w:eastAsia="宋体"/>
          <w:sz w:val="24"/>
        </w:rPr>
        <w:t>28</w:t>
      </w:r>
      <w:r>
        <w:rPr>
          <w:rFonts w:ascii="宋体" w:hAnsi="宋体" w:eastAsia="宋体"/>
          <w:sz w:val="24"/>
        </w:rPr>
        <w:t>.2采购代理机构工作人员不得接受采购人或者供应商组织的宴请、旅游、娱乐，不得收受礼品、现金、有价证券等，不得向采购人或者供应商报销应当由个人承担的费用。</w:t>
      </w:r>
    </w:p>
    <w:p w14:paraId="196DA2DD">
      <w:pPr>
        <w:spacing w:line="360" w:lineRule="auto"/>
        <w:ind w:firstLine="437"/>
        <w:outlineLvl w:val="2"/>
        <w:rPr>
          <w:rFonts w:ascii="宋体" w:hAnsi="宋体" w:eastAsia="宋体"/>
          <w:b/>
          <w:sz w:val="24"/>
        </w:rPr>
      </w:pPr>
      <w:r>
        <w:rPr>
          <w:rFonts w:hint="eastAsia" w:ascii="宋体" w:hAnsi="宋体" w:eastAsia="宋体"/>
          <w:b/>
          <w:sz w:val="24"/>
        </w:rPr>
        <w:t>29</w:t>
      </w:r>
      <w:r>
        <w:rPr>
          <w:rFonts w:ascii="宋体" w:hAnsi="宋体" w:eastAsia="宋体"/>
          <w:b/>
          <w:sz w:val="24"/>
        </w:rPr>
        <w:t>.质疑的</w:t>
      </w:r>
      <w:r>
        <w:rPr>
          <w:rFonts w:asciiTheme="minorEastAsia" w:hAnsiTheme="minorEastAsia" w:eastAsiaTheme="minorEastAsia"/>
          <w:b/>
          <w:sz w:val="24"/>
        </w:rPr>
        <w:t>提出</w:t>
      </w:r>
      <w:r>
        <w:rPr>
          <w:rFonts w:ascii="宋体" w:hAnsi="宋体" w:eastAsia="宋体"/>
          <w:b/>
          <w:sz w:val="24"/>
        </w:rPr>
        <w:t>与接收</w:t>
      </w:r>
    </w:p>
    <w:p w14:paraId="453C3212">
      <w:pPr>
        <w:spacing w:line="360" w:lineRule="auto"/>
        <w:ind w:firstLine="435"/>
        <w:rPr>
          <w:rFonts w:ascii="宋体" w:hAnsi="宋体" w:eastAsia="宋体"/>
          <w:sz w:val="24"/>
        </w:rPr>
      </w:pPr>
      <w:r>
        <w:rPr>
          <w:rFonts w:hint="eastAsia" w:ascii="宋体" w:hAnsi="宋体" w:eastAsia="宋体"/>
          <w:sz w:val="24"/>
        </w:rPr>
        <w:t>29.1供应商认为磋商文件、采购过程和成交结果使自己的权益受到损害的，可以在知道或者应知其权益受到损害之日起七个工作日内，以书面形式向采购人或其委托的采购代理机构提出质疑。</w:t>
      </w:r>
    </w:p>
    <w:p w14:paraId="76F3C0A3">
      <w:pPr>
        <w:spacing w:line="360" w:lineRule="auto"/>
        <w:ind w:firstLine="435"/>
        <w:rPr>
          <w:rFonts w:ascii="宋体" w:hAnsi="宋体" w:eastAsia="宋体"/>
          <w:sz w:val="24"/>
        </w:rPr>
      </w:pPr>
      <w:r>
        <w:rPr>
          <w:rFonts w:hint="eastAsia" w:ascii="宋体" w:hAnsi="宋体" w:eastAsia="宋体"/>
          <w:sz w:val="24"/>
        </w:rPr>
        <w:t>29.2质疑供应商应按照财政部制定的《政府采购质疑函范本》格式（详见磋商文件）和《政府采购质疑和投诉办法》的要求，在法定质疑期内以书面形式提出质疑，超出法定质疑期提交的质疑将被拒绝。针对同一采购程序环节的质疑应一次性提出。</w:t>
      </w:r>
    </w:p>
    <w:p w14:paraId="71B6EDB2">
      <w:pPr>
        <w:spacing w:line="360" w:lineRule="auto"/>
        <w:ind w:firstLine="435"/>
        <w:rPr>
          <w:rFonts w:ascii="宋体" w:hAnsi="宋体" w:eastAsia="宋体"/>
          <w:sz w:val="24"/>
        </w:rPr>
      </w:pPr>
      <w:r>
        <w:rPr>
          <w:rFonts w:hint="eastAsia" w:ascii="宋体" w:hAnsi="宋体" w:eastAsia="宋体"/>
          <w:sz w:val="24"/>
        </w:rPr>
        <w:t>29.3采购代理机构质疑函接收部门、联系电话和通讯地址，见</w:t>
      </w:r>
      <w:r>
        <w:rPr>
          <w:rFonts w:hint="eastAsia" w:ascii="宋体" w:hAnsi="宋体" w:eastAsia="宋体"/>
          <w:sz w:val="24"/>
          <w:u w:val="single"/>
        </w:rPr>
        <w:t>供应商须知前附表</w:t>
      </w:r>
      <w:r>
        <w:rPr>
          <w:rFonts w:hint="eastAsia" w:ascii="宋体" w:hAnsi="宋体" w:eastAsia="宋体"/>
          <w:sz w:val="24"/>
        </w:rPr>
        <w:t>。</w:t>
      </w:r>
    </w:p>
    <w:p w14:paraId="249772BF">
      <w:pPr>
        <w:pStyle w:val="2"/>
        <w:wordWrap w:val="0"/>
        <w:topLinePunct/>
        <w:spacing w:after="0" w:line="360" w:lineRule="auto"/>
        <w:ind w:left="0" w:leftChars="0" w:firstLine="482"/>
        <w:jc w:val="left"/>
        <w:rPr>
          <w:rFonts w:ascii="宋体" w:hAnsi="宋体" w:eastAsia="宋体" w:cs="@仿宋_GB2312"/>
          <w:b/>
          <w:bCs/>
          <w:sz w:val="24"/>
          <w:szCs w:val="20"/>
        </w:rPr>
      </w:pPr>
      <w:r>
        <w:rPr>
          <w:rFonts w:hint="eastAsia" w:ascii="宋体" w:hAnsi="宋体" w:eastAsia="宋体" w:cs="@仿宋_GB2312"/>
          <w:b/>
          <w:bCs/>
          <w:sz w:val="24"/>
          <w:szCs w:val="20"/>
        </w:rPr>
        <w:t>30.投诉</w:t>
      </w:r>
    </w:p>
    <w:p w14:paraId="4E2B5942">
      <w:pPr>
        <w:pStyle w:val="2"/>
        <w:wordWrap w:val="0"/>
        <w:topLinePunct/>
        <w:spacing w:after="0" w:line="360" w:lineRule="auto"/>
        <w:ind w:left="0" w:leftChars="0" w:firstLine="480"/>
        <w:jc w:val="left"/>
        <w:rPr>
          <w:rFonts w:ascii="宋体" w:hAnsi="宋体" w:eastAsia="宋体" w:cs="@仿宋_GB2312"/>
          <w:sz w:val="24"/>
          <w:szCs w:val="20"/>
        </w:rPr>
      </w:pPr>
      <w:r>
        <w:rPr>
          <w:rFonts w:hint="eastAsia" w:ascii="宋体" w:hAnsi="宋体" w:eastAsia="宋体" w:cs="@仿宋_GB2312"/>
          <w:sz w:val="24"/>
          <w:szCs w:val="20"/>
        </w:rPr>
        <w:t>30.1质疑供应商对采购人、采购代理机构的答复不满意，或者采购人、采购代理机构未在规定的时间内答复的，可以在答复期满后十五个工作日内按有关规定，以书面形式向同级政府采购监督管理部门提出投诉。</w:t>
      </w:r>
    </w:p>
    <w:p w14:paraId="3B4AA694">
      <w:pPr>
        <w:pStyle w:val="2"/>
        <w:wordWrap w:val="0"/>
        <w:topLinePunct/>
        <w:spacing w:after="0" w:line="360" w:lineRule="auto"/>
        <w:ind w:left="0" w:leftChars="0" w:firstLine="480"/>
        <w:jc w:val="left"/>
        <w:rPr>
          <w:rFonts w:ascii="宋体" w:hAnsi="宋体" w:eastAsia="宋体" w:cs="@仿宋_GB2312"/>
          <w:sz w:val="24"/>
          <w:szCs w:val="20"/>
        </w:rPr>
      </w:pPr>
      <w:r>
        <w:rPr>
          <w:rFonts w:hint="eastAsia" w:ascii="宋体" w:hAnsi="宋体" w:eastAsia="宋体" w:cs="@仿宋_GB2312"/>
          <w:sz w:val="24"/>
          <w:szCs w:val="20"/>
        </w:rPr>
        <w:t>30.2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38D6811A">
      <w:pPr>
        <w:pStyle w:val="2"/>
        <w:wordWrap w:val="0"/>
        <w:topLinePunct/>
        <w:spacing w:after="0" w:line="360" w:lineRule="auto"/>
        <w:ind w:left="0" w:leftChars="0" w:firstLine="480"/>
        <w:jc w:val="left"/>
        <w:rPr>
          <w:rFonts w:ascii="宋体" w:hAnsi="宋体" w:eastAsia="宋体" w:cs="@仿宋_GB2312"/>
          <w:sz w:val="24"/>
          <w:szCs w:val="20"/>
        </w:rPr>
      </w:pPr>
      <w:r>
        <w:rPr>
          <w:rFonts w:hint="eastAsia" w:ascii="宋体" w:hAnsi="宋体" w:eastAsia="宋体" w:cs="@仿宋_GB2312"/>
          <w:sz w:val="24"/>
          <w:szCs w:val="20"/>
        </w:rPr>
        <w:t>30.3政府采购监督管理部门在处理投诉事项期间，可以视具体情况书面通知采购人暂停采购活动，但暂停时间最长不得超过30日。</w:t>
      </w:r>
    </w:p>
    <w:p w14:paraId="0460FEE6">
      <w:pPr>
        <w:spacing w:line="360" w:lineRule="auto"/>
        <w:ind w:firstLine="437"/>
        <w:outlineLvl w:val="2"/>
        <w:rPr>
          <w:rFonts w:ascii="宋体" w:hAnsi="宋体" w:eastAsia="宋体"/>
          <w:b/>
          <w:sz w:val="24"/>
        </w:rPr>
      </w:pPr>
      <w:r>
        <w:rPr>
          <w:rFonts w:hint="eastAsia" w:ascii="宋体" w:hAnsi="宋体" w:eastAsia="宋体"/>
          <w:b/>
          <w:sz w:val="24"/>
        </w:rPr>
        <w:t>31</w:t>
      </w:r>
      <w:r>
        <w:rPr>
          <w:rFonts w:ascii="宋体" w:hAnsi="宋体" w:eastAsia="宋体"/>
          <w:b/>
          <w:sz w:val="24"/>
        </w:rPr>
        <w:t>.需要</w:t>
      </w:r>
      <w:r>
        <w:rPr>
          <w:rFonts w:asciiTheme="minorEastAsia" w:hAnsiTheme="minorEastAsia" w:eastAsiaTheme="minorEastAsia"/>
          <w:b/>
          <w:sz w:val="24"/>
        </w:rPr>
        <w:t>补充</w:t>
      </w:r>
      <w:r>
        <w:rPr>
          <w:rFonts w:ascii="宋体" w:hAnsi="宋体" w:eastAsia="宋体"/>
          <w:b/>
          <w:sz w:val="24"/>
        </w:rPr>
        <w:t>的其他内容</w:t>
      </w:r>
    </w:p>
    <w:p w14:paraId="00765197">
      <w:pPr>
        <w:spacing w:line="360" w:lineRule="auto"/>
        <w:ind w:firstLine="437"/>
        <w:outlineLvl w:val="2"/>
        <w:rPr>
          <w:rFonts w:asciiTheme="minorEastAsia" w:hAnsiTheme="minorEastAsia" w:eastAsiaTheme="minorEastAsia"/>
          <w:b/>
          <w:sz w:val="28"/>
        </w:rPr>
      </w:pPr>
      <w:r>
        <w:rPr>
          <w:rFonts w:hint="eastAsia" w:ascii="宋体" w:hAnsi="宋体" w:eastAsia="宋体"/>
          <w:sz w:val="24"/>
        </w:rPr>
        <w:t>需要补充的其他内容，见</w:t>
      </w:r>
      <w:r>
        <w:rPr>
          <w:rFonts w:hint="eastAsia" w:ascii="宋体" w:hAnsi="宋体" w:eastAsia="宋体"/>
          <w:sz w:val="24"/>
          <w:u w:val="single"/>
        </w:rPr>
        <w:t>供应商须知前附表</w:t>
      </w:r>
      <w:r>
        <w:rPr>
          <w:rFonts w:hint="eastAsia" w:ascii="宋体" w:hAnsi="宋体" w:eastAsia="宋体"/>
          <w:sz w:val="24"/>
        </w:rPr>
        <w:t>。</w:t>
      </w:r>
      <w:r>
        <w:rPr>
          <w:rFonts w:asciiTheme="minorEastAsia" w:hAnsiTheme="minorEastAsia" w:eastAsiaTheme="minorEastAsia"/>
          <w:sz w:val="24"/>
        </w:rPr>
        <w:br w:type="page"/>
      </w:r>
    </w:p>
    <w:p w14:paraId="1AE01C46">
      <w:pPr>
        <w:spacing w:line="360" w:lineRule="auto"/>
        <w:jc w:val="center"/>
        <w:outlineLvl w:val="0"/>
        <w:rPr>
          <w:rFonts w:asciiTheme="minorEastAsia" w:hAnsiTheme="minorEastAsia" w:eastAsiaTheme="minorEastAsia"/>
          <w:b/>
          <w:sz w:val="28"/>
        </w:rPr>
      </w:pPr>
      <w:bookmarkStart w:id="53" w:name="_Toc19440"/>
      <w:r>
        <w:rPr>
          <w:rFonts w:hint="eastAsia" w:asciiTheme="minorEastAsia" w:hAnsiTheme="minorEastAsia" w:eastAsiaTheme="minorEastAsia"/>
          <w:b/>
          <w:sz w:val="28"/>
        </w:rPr>
        <w:t>第三章  采购需求</w:t>
      </w:r>
      <w:bookmarkEnd w:id="53"/>
    </w:p>
    <w:p w14:paraId="3F5C2B03">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14:paraId="1B8CD455">
      <w:pPr>
        <w:spacing w:line="360" w:lineRule="auto"/>
        <w:ind w:firstLine="435"/>
        <w:rPr>
          <w:rFonts w:ascii="宋体" w:hAnsi="宋体" w:eastAsia="宋体" w:cs="宋体"/>
          <w:sz w:val="24"/>
          <w:szCs w:val="24"/>
        </w:rPr>
      </w:pPr>
      <w:r>
        <w:rPr>
          <w:rFonts w:hint="eastAsia" w:ascii="宋体" w:hAnsi="宋体" w:eastAsia="宋体" w:cs="宋体"/>
          <w:sz w:val="24"/>
          <w:szCs w:val="24"/>
        </w:rPr>
        <w:t>1.本采购需求中提出的服务方案仅为参考，如无明确限制，供应商可以进行优化，提供满足采购人实际需要的更优（或者性能实质上不低于的）服务方案，且此方案须经磋商小组评审认可。</w:t>
      </w:r>
    </w:p>
    <w:p w14:paraId="28C4294C">
      <w:pPr>
        <w:spacing w:line="360" w:lineRule="auto"/>
        <w:ind w:firstLine="435"/>
        <w:rPr>
          <w:rFonts w:ascii="宋体" w:hAnsi="宋体" w:eastAsia="宋体"/>
          <w:sz w:val="24"/>
          <w:szCs w:val="18"/>
        </w:rPr>
      </w:pPr>
      <w:r>
        <w:rPr>
          <w:rFonts w:hint="eastAsia" w:ascii="宋体" w:hAnsi="宋体" w:eastAsia="宋体"/>
          <w:sz w:val="24"/>
          <w:szCs w:val="18"/>
        </w:rPr>
        <w:t>2.下列采购需求中</w:t>
      </w:r>
      <w:r>
        <w:rPr>
          <w:rFonts w:ascii="宋体" w:hAnsi="宋体" w:eastAsia="宋体" w:cs="宋体"/>
          <w:sz w:val="24"/>
          <w:szCs w:val="24"/>
        </w:rPr>
        <w:t>（包括但不限于下列具体政策要求</w:t>
      </w:r>
      <w:r>
        <w:rPr>
          <w:rFonts w:hint="eastAsia" w:ascii="宋体" w:hAnsi="宋体" w:eastAsia="宋体" w:cs="宋体"/>
          <w:sz w:val="24"/>
          <w:szCs w:val="24"/>
        </w:rPr>
        <w:t>）</w:t>
      </w:r>
      <w:r>
        <w:rPr>
          <w:rFonts w:hint="eastAsia" w:ascii="宋体" w:hAnsi="宋体" w:eastAsia="宋体"/>
          <w:sz w:val="24"/>
          <w:szCs w:val="18"/>
        </w:rPr>
        <w:t>：</w:t>
      </w:r>
    </w:p>
    <w:p w14:paraId="451E3E76">
      <w:pPr>
        <w:spacing w:line="360" w:lineRule="auto"/>
        <w:ind w:firstLine="435"/>
        <w:rPr>
          <w:rFonts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供应商在投标文件中提供所投产品须具有市场监管总局公布的《参与实施政府采购节能产品认证机构目录》中的认证机构出具的、处于有效期内的节能产品认证证书。</w:t>
      </w:r>
    </w:p>
    <w:p w14:paraId="28723DCC">
      <w:pPr>
        <w:spacing w:line="360" w:lineRule="auto"/>
        <w:ind w:firstLine="435"/>
        <w:rPr>
          <w:rFonts w:ascii="宋体" w:hAnsi="宋体" w:eastAsia="宋体" w:cs="宋体"/>
          <w:sz w:val="24"/>
          <w:szCs w:val="24"/>
        </w:rPr>
      </w:pPr>
      <w:r>
        <w:rPr>
          <w:rFonts w:hint="eastAsia" w:ascii="宋体" w:hAnsi="宋体" w:eastAsia="宋体" w:cs="宋体"/>
          <w:sz w:val="24"/>
          <w:szCs w:val="24"/>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4BD9DEC2">
      <w:pPr>
        <w:spacing w:line="360" w:lineRule="auto"/>
        <w:ind w:firstLine="435"/>
        <w:rPr>
          <w:rFonts w:ascii="宋体" w:hAnsi="宋体" w:eastAsia="宋体" w:cs="宋体"/>
          <w:sz w:val="24"/>
          <w:szCs w:val="24"/>
        </w:rPr>
      </w:pPr>
      <w:r>
        <w:rPr>
          <w:rFonts w:hint="eastAsia" w:ascii="宋体" w:hAnsi="宋体" w:eastAsia="宋体" w:cs="宋体"/>
          <w:sz w:val="24"/>
          <w:szCs w:val="24"/>
        </w:rPr>
        <w:t>（3）如投标人所投产品属于《节能产品政府采购品目清单》中政府强制采购的节能产品，则投标时须在投标文件中提供该产品具有市场监管总局公布的《参与实施政府采购节能产品认证机构目录》中的认证机构出具的、处于有效期内的节能产品认证证书扫描件，否则不通过初审。</w:t>
      </w:r>
    </w:p>
    <w:p w14:paraId="0D8DDDA4">
      <w:pPr>
        <w:spacing w:line="360" w:lineRule="auto"/>
        <w:ind w:firstLine="435"/>
        <w:rPr>
          <w:rFonts w:asciiTheme="minorEastAsia" w:hAnsiTheme="minorEastAsia" w:eastAsiaTheme="minorEastAsia"/>
          <w:sz w:val="24"/>
        </w:rPr>
      </w:pPr>
      <w:r>
        <w:rPr>
          <w:rFonts w:hint="eastAsia" w:ascii="宋体" w:hAnsi="宋体" w:eastAsia="宋体"/>
          <w:sz w:val="24"/>
          <w:szCs w:val="18"/>
        </w:rPr>
        <w:t>3.如采购人允许采用分包方式履行合同的，应当明确可以分包履行的相关内容。</w:t>
      </w:r>
    </w:p>
    <w:p w14:paraId="17C6BFCB">
      <w:pPr>
        <w:spacing w:line="360" w:lineRule="auto"/>
        <w:ind w:firstLine="437"/>
        <w:outlineLvl w:val="1"/>
        <w:rPr>
          <w:rFonts w:ascii="宋体" w:hAnsi="宋体" w:eastAsia="宋体"/>
          <w:b/>
          <w:sz w:val="24"/>
          <w:szCs w:val="18"/>
        </w:rPr>
      </w:pPr>
      <w:bookmarkStart w:id="54" w:name="_Toc26349"/>
      <w:bookmarkStart w:id="55" w:name="_Toc7699"/>
      <w:r>
        <w:rPr>
          <w:rFonts w:hint="eastAsia" w:ascii="宋体" w:hAnsi="宋体" w:eastAsia="宋体"/>
          <w:b/>
          <w:sz w:val="24"/>
          <w:szCs w:val="18"/>
        </w:rPr>
        <w:t>一、采购需求前附表</w:t>
      </w:r>
      <w:bookmarkEnd w:id="54"/>
      <w:bookmarkEnd w:id="55"/>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5EC7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A8F55C9">
            <w:pPr>
              <w:pStyle w:val="48"/>
            </w:pPr>
            <w:bookmarkStart w:id="56" w:name="_Hlk16461016"/>
            <w:r>
              <w:rPr>
                <w:rFonts w:hint="eastAsia"/>
              </w:rPr>
              <w:t>序号</w:t>
            </w:r>
          </w:p>
        </w:tc>
        <w:tc>
          <w:tcPr>
            <w:tcW w:w="1192" w:type="pct"/>
            <w:vAlign w:val="center"/>
          </w:tcPr>
          <w:p w14:paraId="4C16FF4A">
            <w:pPr>
              <w:pStyle w:val="47"/>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6" w:type="pct"/>
            <w:vAlign w:val="center"/>
          </w:tcPr>
          <w:p w14:paraId="3D6CC7FC">
            <w:pPr>
              <w:pStyle w:val="47"/>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6BC6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C60B57B">
            <w:pPr>
              <w:pStyle w:val="48"/>
            </w:pPr>
            <w:r>
              <w:rPr>
                <w:rFonts w:hint="eastAsia"/>
              </w:rPr>
              <w:t>1</w:t>
            </w:r>
          </w:p>
        </w:tc>
        <w:tc>
          <w:tcPr>
            <w:tcW w:w="1192" w:type="pct"/>
            <w:vAlign w:val="center"/>
          </w:tcPr>
          <w:p w14:paraId="5173FB2D">
            <w:pPr>
              <w:pStyle w:val="47"/>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6" w:type="pct"/>
            <w:vAlign w:val="center"/>
          </w:tcPr>
          <w:p w14:paraId="3802CBEB">
            <w:pPr>
              <w:pStyle w:val="47"/>
              <w:widowControl w:val="0"/>
              <w:spacing w:before="0" w:beforeAutospacing="0" w:after="0" w:afterAutospacing="0" w:line="360" w:lineRule="auto"/>
              <w:jc w:val="both"/>
              <w:rPr>
                <w:rFonts w:hint="eastAsia" w:ascii="宋体" w:hAnsi="宋体" w:eastAsia="宋体"/>
                <w:b w:val="0"/>
                <w:sz w:val="24"/>
                <w:highlight w:val="none"/>
                <w:lang w:eastAsia="zh-CN"/>
              </w:rPr>
            </w:pPr>
            <w:r>
              <w:rPr>
                <w:rFonts w:hint="eastAsia" w:ascii="宋体" w:hAnsi="宋体" w:eastAsia="宋体"/>
                <w:b w:val="0"/>
                <w:sz w:val="24"/>
                <w:highlight w:val="none"/>
              </w:rPr>
              <w:t>合同签订生效并具备实施条件后5个工作日内支付合同价款的40% 预付款，提交最终结果资料、项目全部完成并通过验收后支付至</w:t>
            </w:r>
            <w:r>
              <w:rPr>
                <w:rFonts w:hint="eastAsia" w:ascii="宋体" w:hAnsi="宋体" w:eastAsia="宋体"/>
                <w:b w:val="0"/>
                <w:sz w:val="24"/>
                <w:highlight w:val="none"/>
                <w:lang w:eastAsia="zh-CN"/>
              </w:rPr>
              <w:t>结算</w:t>
            </w:r>
            <w:r>
              <w:rPr>
                <w:rFonts w:hint="eastAsia" w:ascii="宋体" w:hAnsi="宋体" w:eastAsia="宋体"/>
                <w:b w:val="0"/>
                <w:sz w:val="24"/>
                <w:highlight w:val="none"/>
              </w:rPr>
              <w:t>价款的100%。所有相关费用包含在项目款项中，不再另行支付。</w:t>
            </w:r>
            <w:r>
              <w:rPr>
                <w:rFonts w:hint="eastAsia" w:ascii="宋体" w:hAnsi="宋体" w:eastAsia="宋体"/>
                <w:b w:val="0"/>
                <w:sz w:val="24"/>
                <w:highlight w:val="none"/>
                <w:lang w:eastAsia="zh-CN"/>
              </w:rPr>
              <w:t>（</w:t>
            </w:r>
            <w:r>
              <w:rPr>
                <w:rFonts w:hint="eastAsia" w:ascii="宋体" w:hAnsi="宋体" w:eastAsia="宋体"/>
                <w:b w:val="0"/>
                <w:sz w:val="24"/>
                <w:highlight w:val="none"/>
                <w:lang w:val="en-US" w:eastAsia="zh-CN"/>
              </w:rPr>
              <w:t>维保期约4个月</w:t>
            </w:r>
            <w:r>
              <w:rPr>
                <w:rFonts w:hint="eastAsia" w:ascii="宋体" w:hAnsi="宋体" w:eastAsia="宋体"/>
                <w:b w:val="0"/>
                <w:sz w:val="24"/>
                <w:highlight w:val="none"/>
                <w:lang w:eastAsia="zh-CN"/>
              </w:rPr>
              <w:t>）</w:t>
            </w:r>
          </w:p>
        </w:tc>
      </w:tr>
      <w:tr w14:paraId="44ED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2463357">
            <w:pPr>
              <w:pStyle w:val="48"/>
            </w:pPr>
            <w:r>
              <w:rPr>
                <w:rFonts w:hint="eastAsia"/>
              </w:rPr>
              <w:t>2</w:t>
            </w:r>
          </w:p>
        </w:tc>
        <w:tc>
          <w:tcPr>
            <w:tcW w:w="1192" w:type="pct"/>
            <w:vAlign w:val="center"/>
          </w:tcPr>
          <w:p w14:paraId="5037E0C7">
            <w:pPr>
              <w:pStyle w:val="4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服务地点</w:t>
            </w:r>
          </w:p>
        </w:tc>
        <w:tc>
          <w:tcPr>
            <w:tcW w:w="3216" w:type="pct"/>
            <w:vAlign w:val="center"/>
          </w:tcPr>
          <w:p w14:paraId="05F330A6">
            <w:pPr>
              <w:pStyle w:val="4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 xml:space="preserve">滁州市科学技术馆 </w:t>
            </w:r>
          </w:p>
        </w:tc>
      </w:tr>
      <w:tr w14:paraId="17C2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803496D">
            <w:pPr>
              <w:pStyle w:val="48"/>
            </w:pPr>
            <w:r>
              <w:rPr>
                <w:rFonts w:hint="eastAsia"/>
              </w:rPr>
              <w:t>3</w:t>
            </w:r>
          </w:p>
        </w:tc>
        <w:tc>
          <w:tcPr>
            <w:tcW w:w="1192" w:type="pct"/>
            <w:vAlign w:val="center"/>
          </w:tcPr>
          <w:p w14:paraId="7CEC2778">
            <w:pPr>
              <w:pStyle w:val="47"/>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6" w:type="pct"/>
            <w:vAlign w:val="center"/>
          </w:tcPr>
          <w:p w14:paraId="43998A97">
            <w:pPr>
              <w:pStyle w:val="47"/>
              <w:widowControl w:val="0"/>
              <w:spacing w:before="0" w:beforeAutospacing="0" w:after="0" w:afterAutospacing="0" w:line="360" w:lineRule="auto"/>
              <w:jc w:val="both"/>
              <w:rPr>
                <w:rFonts w:hint="eastAsia" w:ascii="宋体" w:hAnsi="宋体" w:eastAsia="宋体"/>
                <w:b w:val="0"/>
                <w:sz w:val="24"/>
                <w:highlight w:val="none"/>
                <w:lang w:eastAsia="zh-CN"/>
              </w:rPr>
            </w:pPr>
            <w:r>
              <w:rPr>
                <w:rFonts w:hint="eastAsia" w:ascii="宋体" w:hAnsi="宋体" w:eastAsia="宋体"/>
                <w:b w:val="0"/>
                <w:sz w:val="24"/>
                <w:highlight w:val="none"/>
                <w:lang w:val="en-US" w:eastAsia="zh-CN"/>
              </w:rPr>
              <w:t>运输、</w:t>
            </w:r>
            <w:r>
              <w:rPr>
                <w:rFonts w:hint="eastAsia" w:ascii="宋体" w:hAnsi="宋体" w:eastAsia="宋体"/>
                <w:b w:val="0"/>
                <w:sz w:val="24"/>
                <w:highlight w:val="none"/>
              </w:rPr>
              <w:t>安装、拆除不高于10个日历天（维保期4个月）</w:t>
            </w:r>
            <w:r>
              <w:rPr>
                <w:rFonts w:hint="eastAsia" w:ascii="宋体" w:hAnsi="宋体" w:eastAsia="宋体"/>
                <w:b w:val="0"/>
                <w:sz w:val="24"/>
                <w:highlight w:val="none"/>
                <w:lang w:eastAsia="zh-CN"/>
              </w:rPr>
              <w:t>。</w:t>
            </w:r>
          </w:p>
        </w:tc>
      </w:tr>
      <w:tr w14:paraId="5278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C40CB4D">
            <w:pPr>
              <w:pStyle w:val="48"/>
            </w:pPr>
            <w:r>
              <w:rPr>
                <w:rFonts w:hint="eastAsia"/>
              </w:rPr>
              <w:t>4</w:t>
            </w:r>
          </w:p>
        </w:tc>
        <w:tc>
          <w:tcPr>
            <w:tcW w:w="1192" w:type="pct"/>
            <w:vAlign w:val="center"/>
          </w:tcPr>
          <w:p w14:paraId="63A2045D">
            <w:pPr>
              <w:pStyle w:val="4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本项目采购标的名称及所属行业</w:t>
            </w:r>
          </w:p>
        </w:tc>
        <w:tc>
          <w:tcPr>
            <w:tcW w:w="3216" w:type="pct"/>
            <w:vAlign w:val="center"/>
          </w:tcPr>
          <w:p w14:paraId="29CA91B3">
            <w:pPr>
              <w:spacing w:line="360" w:lineRule="auto"/>
              <w:jc w:val="left"/>
              <w:rPr>
                <w:rFonts w:asciiTheme="minorEastAsia" w:hAnsiTheme="minorEastAsia" w:eastAsiaTheme="minorEastAsia"/>
                <w:sz w:val="24"/>
                <w:szCs w:val="22"/>
              </w:rPr>
            </w:pPr>
            <w:r>
              <w:rPr>
                <w:rFonts w:hint="eastAsia" w:asciiTheme="minorEastAsia" w:hAnsiTheme="minorEastAsia" w:eastAsiaTheme="minorEastAsia"/>
                <w:sz w:val="24"/>
                <w:szCs w:val="22"/>
              </w:rPr>
              <w:t>标的名称：《皮影也科技》展览巡展滁州市科学技术馆服务项目</w:t>
            </w:r>
          </w:p>
          <w:p w14:paraId="57855644">
            <w:pPr>
              <w:spacing w:line="360" w:lineRule="auto"/>
              <w:rPr>
                <w:rFonts w:ascii="宋体" w:hAnsi="宋体" w:eastAsia="宋体"/>
                <w:sz w:val="24"/>
                <w:u w:val="single"/>
              </w:rPr>
            </w:pPr>
            <w:r>
              <w:rPr>
                <w:rFonts w:hint="eastAsia" w:asciiTheme="minorEastAsia" w:hAnsiTheme="minorEastAsia" w:eastAsiaTheme="minorEastAsia"/>
                <w:sz w:val="24"/>
                <w:szCs w:val="22"/>
              </w:rPr>
              <w:t>所属行业：其他未列明行业</w:t>
            </w:r>
          </w:p>
        </w:tc>
      </w:tr>
      <w:tr w14:paraId="42E4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9278C1E">
            <w:pPr>
              <w:pStyle w:val="48"/>
            </w:pPr>
            <w:r>
              <w:rPr>
                <w:rFonts w:hint="eastAsia"/>
              </w:rPr>
              <w:t>5</w:t>
            </w:r>
          </w:p>
        </w:tc>
        <w:tc>
          <w:tcPr>
            <w:tcW w:w="2032" w:type="dxa"/>
            <w:vAlign w:val="center"/>
          </w:tcPr>
          <w:p w14:paraId="26D190FD">
            <w:pPr>
              <w:spacing w:line="360" w:lineRule="auto"/>
              <w:jc w:val="center"/>
              <w:rPr>
                <w:rFonts w:ascii="宋体" w:hAnsi="宋体" w:eastAsia="宋体"/>
                <w:sz w:val="24"/>
              </w:rPr>
            </w:pPr>
            <w:r>
              <w:rPr>
                <w:rFonts w:hint="eastAsia" w:asciiTheme="minorEastAsia" w:hAnsiTheme="minorEastAsia" w:eastAsiaTheme="minorEastAsia"/>
                <w:sz w:val="24"/>
                <w:szCs w:val="22"/>
              </w:rPr>
              <w:t>报价须知</w:t>
            </w:r>
          </w:p>
        </w:tc>
        <w:tc>
          <w:tcPr>
            <w:tcW w:w="5484" w:type="dxa"/>
            <w:vAlign w:val="center"/>
          </w:tcPr>
          <w:p w14:paraId="61FB92FB">
            <w:pPr>
              <w:spacing w:line="360" w:lineRule="auto"/>
              <w:rPr>
                <w:rFonts w:ascii="宋体" w:hAnsi="宋体" w:eastAsia="宋体"/>
                <w:sz w:val="24"/>
              </w:rPr>
            </w:pPr>
            <w:r>
              <w:rPr>
                <w:rFonts w:hint="eastAsia" w:asciiTheme="minorEastAsia" w:hAnsiTheme="minorEastAsia" w:eastAsiaTheme="minorEastAsia"/>
                <w:sz w:val="24"/>
                <w:szCs w:val="22"/>
              </w:rPr>
              <w:t>1、供应商最后报价均不得高于磋商文件（公告）列明的项目预算、最高投标限价，否则其响应文件将被认定为响应无效。</w:t>
            </w:r>
          </w:p>
        </w:tc>
      </w:tr>
      <w:bookmarkEnd w:id="56"/>
    </w:tbl>
    <w:p w14:paraId="6563F0A6">
      <w:pPr>
        <w:spacing w:line="360" w:lineRule="auto"/>
        <w:ind w:firstLine="437"/>
        <w:outlineLvl w:val="1"/>
        <w:rPr>
          <w:rFonts w:ascii="宋体" w:hAnsi="宋体" w:eastAsia="宋体"/>
          <w:b/>
          <w:sz w:val="24"/>
          <w:szCs w:val="18"/>
        </w:rPr>
      </w:pPr>
      <w:bookmarkStart w:id="57" w:name="_Toc20231"/>
      <w:bookmarkStart w:id="58" w:name="_Toc30301"/>
      <w:r>
        <w:rPr>
          <w:rFonts w:hint="eastAsia" w:ascii="宋体" w:hAnsi="宋体" w:eastAsia="宋体"/>
          <w:b/>
          <w:sz w:val="24"/>
          <w:szCs w:val="18"/>
        </w:rPr>
        <w:t>二、项目概况</w:t>
      </w:r>
    </w:p>
    <w:bookmarkEnd w:id="57"/>
    <w:bookmarkEnd w:id="58"/>
    <w:p w14:paraId="45900FBF">
      <w:pPr>
        <w:spacing w:line="360" w:lineRule="auto"/>
        <w:ind w:firstLine="435"/>
        <w:rPr>
          <w:rFonts w:ascii="宋体" w:hAnsi="宋体" w:eastAsia="宋体" w:cs="宋体"/>
          <w:sz w:val="24"/>
          <w:szCs w:val="24"/>
        </w:rPr>
      </w:pPr>
      <w:r>
        <w:rPr>
          <w:rFonts w:hint="eastAsia" w:ascii="宋体" w:hAnsi="宋体" w:eastAsia="宋体" w:cs="宋体"/>
          <w:sz w:val="24"/>
          <w:szCs w:val="24"/>
        </w:rPr>
        <w:t>皮影也科技-非遗科技文化展，从科技和文化结合的角度，通过互动体验的科技馆特色展览形式，生动形象地诠释了皮影戏文化与科技的关系，引导公众在非遗传承中感知科学教育的力量，加深对中国传统科技的认知，树立中华民族的文化自信和科技自信，传播中国精神。</w:t>
      </w:r>
    </w:p>
    <w:p w14:paraId="4D50863C">
      <w:pPr>
        <w:spacing w:line="360" w:lineRule="auto"/>
        <w:ind w:firstLine="435"/>
        <w:rPr>
          <w:rFonts w:ascii="宋体" w:hAnsi="宋体" w:eastAsia="宋体" w:cs="宋体"/>
          <w:sz w:val="24"/>
          <w:szCs w:val="24"/>
        </w:rPr>
      </w:pPr>
      <w:r>
        <w:rPr>
          <w:rFonts w:hint="eastAsia" w:ascii="宋体" w:hAnsi="宋体" w:eastAsia="宋体" w:cs="宋体"/>
          <w:sz w:val="24"/>
          <w:szCs w:val="24"/>
        </w:rPr>
        <w:t>本项目分为两项：</w:t>
      </w:r>
    </w:p>
    <w:p w14:paraId="07AD998F">
      <w:pPr>
        <w:spacing w:line="360" w:lineRule="auto"/>
        <w:ind w:firstLine="435"/>
        <w:rPr>
          <w:rFonts w:ascii="宋体" w:hAnsi="宋体" w:eastAsia="宋体" w:cs="宋体"/>
          <w:sz w:val="24"/>
          <w:szCs w:val="24"/>
        </w:rPr>
      </w:pPr>
      <w:r>
        <w:rPr>
          <w:rFonts w:hint="eastAsia" w:ascii="宋体" w:hAnsi="宋体" w:eastAsia="宋体" w:cs="宋体"/>
          <w:sz w:val="24"/>
          <w:szCs w:val="24"/>
        </w:rPr>
        <w:t>1、《皮影也科技》展览的运输、安装、维护和拆除；</w:t>
      </w:r>
    </w:p>
    <w:p w14:paraId="3024549E">
      <w:pPr>
        <w:spacing w:line="360" w:lineRule="auto"/>
        <w:ind w:firstLine="435"/>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布展需要根据实际情况对滁州市科技馆展厅玻璃墙进行遮光，需遮光玻璃墙面积约220平米左右。</w:t>
      </w:r>
    </w:p>
    <w:p w14:paraId="290F80C1">
      <w:pPr>
        <w:spacing w:line="360" w:lineRule="auto"/>
        <w:ind w:firstLine="435"/>
        <w:rPr>
          <w:rFonts w:ascii="宋体" w:hAnsi="宋体" w:eastAsia="宋体" w:cs="宋体"/>
          <w:sz w:val="24"/>
          <w:szCs w:val="24"/>
        </w:rPr>
      </w:pPr>
      <w:r>
        <w:rPr>
          <w:rFonts w:hint="eastAsia" w:ascii="宋体" w:hAnsi="宋体" w:eastAsia="宋体" w:cs="宋体"/>
          <w:sz w:val="24"/>
          <w:szCs w:val="24"/>
        </w:rPr>
        <w:t>报价时需要分项报价。</w:t>
      </w:r>
    </w:p>
    <w:p w14:paraId="4A3946F3">
      <w:pPr>
        <w:spacing w:line="360" w:lineRule="auto"/>
        <w:ind w:firstLine="437"/>
        <w:outlineLvl w:val="1"/>
        <w:rPr>
          <w:rFonts w:ascii="宋体" w:hAnsi="宋体" w:eastAsia="宋体" w:cs="宋体"/>
          <w:b/>
          <w:bCs/>
          <w:sz w:val="24"/>
          <w:szCs w:val="24"/>
        </w:rPr>
      </w:pPr>
      <w:bookmarkStart w:id="59" w:name="_Toc21757"/>
      <w:bookmarkStart w:id="60" w:name="_Toc8586"/>
      <w:r>
        <w:rPr>
          <w:rFonts w:hint="eastAsia" w:ascii="宋体" w:hAnsi="宋体" w:eastAsia="宋体"/>
          <w:b/>
          <w:sz w:val="24"/>
          <w:szCs w:val="18"/>
        </w:rPr>
        <w:t>三、服务需求</w:t>
      </w:r>
      <w:bookmarkEnd w:id="59"/>
      <w:bookmarkEnd w:id="60"/>
    </w:p>
    <w:p w14:paraId="4A0A6076">
      <w:pPr>
        <w:spacing w:line="360" w:lineRule="auto"/>
        <w:ind w:firstLine="435"/>
        <w:rPr>
          <w:rFonts w:ascii="宋体" w:hAnsi="宋体" w:eastAsia="宋体" w:cs="宋体"/>
          <w:sz w:val="24"/>
          <w:szCs w:val="24"/>
        </w:rPr>
      </w:pPr>
      <w:r>
        <w:rPr>
          <w:rFonts w:hint="eastAsia" w:ascii="宋体" w:hAnsi="宋体" w:eastAsia="宋体" w:cs="宋体"/>
          <w:sz w:val="24"/>
          <w:szCs w:val="24"/>
        </w:rPr>
        <w:t>（一）《皮影也科技》展览的运输、安装、维保和撤展：</w:t>
      </w:r>
    </w:p>
    <w:tbl>
      <w:tblPr>
        <w:tblStyle w:val="27"/>
        <w:tblW w:w="8784" w:type="dxa"/>
        <w:jc w:val="center"/>
        <w:tblLayout w:type="fixed"/>
        <w:tblCellMar>
          <w:top w:w="0" w:type="dxa"/>
          <w:left w:w="28" w:type="dxa"/>
          <w:bottom w:w="0" w:type="dxa"/>
          <w:right w:w="28" w:type="dxa"/>
        </w:tblCellMar>
      </w:tblPr>
      <w:tblGrid>
        <w:gridCol w:w="562"/>
        <w:gridCol w:w="1276"/>
        <w:gridCol w:w="2512"/>
        <w:gridCol w:w="1793"/>
        <w:gridCol w:w="1084"/>
        <w:gridCol w:w="1557"/>
      </w:tblGrid>
      <w:tr w14:paraId="27B1BC60">
        <w:tblPrEx>
          <w:tblCellMar>
            <w:top w:w="0" w:type="dxa"/>
            <w:left w:w="28" w:type="dxa"/>
            <w:bottom w:w="0" w:type="dxa"/>
            <w:right w:w="28" w:type="dxa"/>
          </w:tblCellMar>
        </w:tblPrEx>
        <w:trPr>
          <w:trHeight w:val="300" w:hRule="atLeast"/>
          <w:jc w:val="center"/>
        </w:trPr>
        <w:tc>
          <w:tcPr>
            <w:tcW w:w="878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A9728EE">
            <w:pPr>
              <w:spacing w:line="360" w:lineRule="auto"/>
              <w:rPr>
                <w:rFonts w:ascii="宋体" w:hAnsi="宋体" w:eastAsia="宋体"/>
                <w:sz w:val="24"/>
                <w:szCs w:val="24"/>
              </w:rPr>
            </w:pPr>
            <w:r>
              <w:rPr>
                <w:rFonts w:hint="eastAsia" w:ascii="宋体" w:hAnsi="宋体" w:eastAsia="宋体"/>
                <w:sz w:val="24"/>
                <w:szCs w:val="24"/>
              </w:rPr>
              <w:t>本展览包含1</w:t>
            </w:r>
            <w:r>
              <w:rPr>
                <w:rFonts w:ascii="宋体" w:hAnsi="宋体" w:eastAsia="宋体"/>
                <w:sz w:val="24"/>
                <w:szCs w:val="24"/>
              </w:rPr>
              <w:t>1</w:t>
            </w:r>
            <w:r>
              <w:rPr>
                <w:rFonts w:hint="eastAsia" w:ascii="宋体" w:hAnsi="宋体" w:eastAsia="宋体"/>
                <w:sz w:val="24"/>
                <w:szCs w:val="24"/>
              </w:rPr>
              <w:t>件（套）展品，清单如下：</w:t>
            </w:r>
          </w:p>
        </w:tc>
      </w:tr>
      <w:tr w14:paraId="60EEB8BB">
        <w:tblPrEx>
          <w:tblCellMar>
            <w:top w:w="0" w:type="dxa"/>
            <w:left w:w="28" w:type="dxa"/>
            <w:bottom w:w="0" w:type="dxa"/>
            <w:right w:w="28" w:type="dxa"/>
          </w:tblCellMar>
        </w:tblPrEx>
        <w:trPr>
          <w:trHeight w:val="30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0AC6B">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FA1CC63">
            <w:pPr>
              <w:spacing w:line="360" w:lineRule="auto"/>
              <w:jc w:val="center"/>
              <w:rPr>
                <w:rFonts w:ascii="宋体" w:hAnsi="宋体" w:eastAsia="宋体"/>
                <w:sz w:val="24"/>
                <w:szCs w:val="24"/>
              </w:rPr>
            </w:pPr>
            <w:r>
              <w:rPr>
                <w:rFonts w:hint="eastAsia" w:ascii="宋体" w:hAnsi="宋体" w:eastAsia="宋体"/>
                <w:sz w:val="24"/>
                <w:szCs w:val="24"/>
              </w:rPr>
              <w:t>展区名称</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14:paraId="0509B936">
            <w:pPr>
              <w:spacing w:line="360" w:lineRule="auto"/>
              <w:jc w:val="center"/>
              <w:rPr>
                <w:rFonts w:ascii="宋体" w:hAnsi="宋体" w:eastAsia="宋体"/>
                <w:sz w:val="24"/>
                <w:szCs w:val="24"/>
              </w:rPr>
            </w:pPr>
            <w:r>
              <w:rPr>
                <w:rFonts w:hint="eastAsia" w:ascii="宋体" w:hAnsi="宋体" w:eastAsia="宋体"/>
                <w:sz w:val="24"/>
                <w:szCs w:val="24"/>
              </w:rPr>
              <w:t>名称</w:t>
            </w:r>
          </w:p>
        </w:tc>
        <w:tc>
          <w:tcPr>
            <w:tcW w:w="1793" w:type="dxa"/>
            <w:tcBorders>
              <w:top w:val="single" w:color="auto" w:sz="4" w:space="0"/>
              <w:left w:val="single" w:color="auto" w:sz="4" w:space="0"/>
              <w:bottom w:val="single" w:color="auto" w:sz="4" w:space="0"/>
              <w:right w:val="single" w:color="auto" w:sz="4" w:space="0"/>
            </w:tcBorders>
            <w:vAlign w:val="center"/>
          </w:tcPr>
          <w:p w14:paraId="56884359">
            <w:pPr>
              <w:spacing w:line="360" w:lineRule="auto"/>
              <w:jc w:val="center"/>
              <w:rPr>
                <w:rFonts w:ascii="宋体" w:hAnsi="宋体" w:eastAsia="宋体"/>
                <w:sz w:val="24"/>
                <w:szCs w:val="24"/>
              </w:rPr>
            </w:pPr>
            <w:r>
              <w:rPr>
                <w:rFonts w:hint="eastAsia" w:ascii="宋体" w:hAnsi="宋体" w:eastAsia="宋体"/>
                <w:sz w:val="24"/>
                <w:szCs w:val="24"/>
              </w:rPr>
              <w:t>尺寸</w:t>
            </w:r>
          </w:p>
          <w:p w14:paraId="7351BAC4">
            <w:pPr>
              <w:spacing w:line="360" w:lineRule="auto"/>
              <w:jc w:val="center"/>
              <w:rPr>
                <w:rFonts w:ascii="宋体" w:hAnsi="宋体" w:eastAsia="宋体"/>
                <w:sz w:val="24"/>
                <w:szCs w:val="24"/>
              </w:rPr>
            </w:pPr>
            <w:r>
              <w:rPr>
                <w:rFonts w:hint="eastAsia" w:ascii="宋体" w:hAnsi="宋体" w:eastAsia="宋体"/>
                <w:sz w:val="24"/>
                <w:szCs w:val="24"/>
              </w:rPr>
              <w:t>长*宽*高（cm）</w:t>
            </w:r>
          </w:p>
        </w:tc>
        <w:tc>
          <w:tcPr>
            <w:tcW w:w="1084" w:type="dxa"/>
            <w:tcBorders>
              <w:top w:val="single" w:color="auto" w:sz="4" w:space="0"/>
              <w:left w:val="single" w:color="auto" w:sz="4" w:space="0"/>
              <w:bottom w:val="single" w:color="auto" w:sz="4" w:space="0"/>
              <w:right w:val="single" w:color="auto" w:sz="4" w:space="0"/>
            </w:tcBorders>
            <w:vAlign w:val="center"/>
          </w:tcPr>
          <w:p w14:paraId="34241CF8">
            <w:pPr>
              <w:spacing w:line="360" w:lineRule="auto"/>
              <w:jc w:val="center"/>
              <w:rPr>
                <w:rFonts w:ascii="宋体" w:hAnsi="宋体" w:eastAsia="宋体"/>
                <w:sz w:val="24"/>
                <w:szCs w:val="24"/>
              </w:rPr>
            </w:pPr>
            <w:r>
              <w:rPr>
                <w:rFonts w:hint="eastAsia" w:ascii="宋体" w:hAnsi="宋体" w:eastAsia="宋体"/>
                <w:sz w:val="24"/>
                <w:szCs w:val="24"/>
              </w:rPr>
              <w:t>重量</w:t>
            </w:r>
          </w:p>
        </w:tc>
        <w:tc>
          <w:tcPr>
            <w:tcW w:w="1557" w:type="dxa"/>
            <w:tcBorders>
              <w:top w:val="single" w:color="auto" w:sz="4" w:space="0"/>
              <w:left w:val="single" w:color="auto" w:sz="4" w:space="0"/>
              <w:bottom w:val="single" w:color="auto" w:sz="4" w:space="0"/>
              <w:right w:val="single" w:color="auto" w:sz="4" w:space="0"/>
            </w:tcBorders>
            <w:vAlign w:val="center"/>
          </w:tcPr>
          <w:p w14:paraId="2049F11E">
            <w:pPr>
              <w:spacing w:line="360" w:lineRule="auto"/>
              <w:jc w:val="center"/>
              <w:rPr>
                <w:rFonts w:ascii="宋体" w:hAnsi="宋体" w:eastAsia="宋体"/>
                <w:sz w:val="24"/>
                <w:szCs w:val="24"/>
              </w:rPr>
            </w:pPr>
            <w:r>
              <w:rPr>
                <w:rFonts w:hint="eastAsia" w:ascii="宋体" w:hAnsi="宋体" w:eastAsia="宋体"/>
                <w:sz w:val="24"/>
                <w:szCs w:val="24"/>
              </w:rPr>
              <w:t>拆卸</w:t>
            </w:r>
          </w:p>
        </w:tc>
      </w:tr>
      <w:tr w14:paraId="6C07029A">
        <w:tblPrEx>
          <w:tblCellMar>
            <w:top w:w="0" w:type="dxa"/>
            <w:left w:w="28" w:type="dxa"/>
            <w:bottom w:w="0" w:type="dxa"/>
            <w:right w:w="28" w:type="dxa"/>
          </w:tblCellMar>
        </w:tblPrEx>
        <w:trPr>
          <w:trHeight w:val="30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C04B7C">
            <w:pPr>
              <w:spacing w:line="360" w:lineRule="auto"/>
              <w:jc w:val="center"/>
              <w:rPr>
                <w:rFonts w:ascii="宋体" w:hAnsi="宋体" w:eastAsia="宋体"/>
                <w:sz w:val="24"/>
                <w:szCs w:val="24"/>
              </w:rPr>
            </w:pPr>
            <w:r>
              <w:rPr>
                <w:rFonts w:hint="eastAsia" w:ascii="宋体" w:hAnsi="宋体" w:eastAsia="宋体"/>
                <w:sz w:val="24"/>
                <w:szCs w:val="24"/>
              </w:rPr>
              <w:t>1</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6DC8FE7">
            <w:pPr>
              <w:spacing w:line="360" w:lineRule="auto"/>
              <w:rPr>
                <w:rFonts w:ascii="宋体" w:hAnsi="宋体" w:eastAsia="宋体"/>
                <w:sz w:val="24"/>
                <w:szCs w:val="24"/>
              </w:rPr>
            </w:pPr>
            <w:r>
              <w:rPr>
                <w:rFonts w:hint="eastAsia" w:ascii="宋体" w:hAnsi="宋体" w:eastAsia="宋体"/>
                <w:sz w:val="24"/>
                <w:szCs w:val="24"/>
              </w:rPr>
              <w:t>妙光映奇景</w:t>
            </w:r>
          </w:p>
        </w:tc>
        <w:tc>
          <w:tcPr>
            <w:tcW w:w="2512" w:type="dxa"/>
            <w:tcBorders>
              <w:top w:val="single" w:color="auto" w:sz="4" w:space="0"/>
              <w:left w:val="nil"/>
              <w:bottom w:val="single" w:color="auto" w:sz="4" w:space="0"/>
              <w:right w:val="single" w:color="auto" w:sz="4" w:space="0"/>
            </w:tcBorders>
            <w:shd w:val="clear" w:color="auto" w:fill="auto"/>
            <w:vAlign w:val="center"/>
          </w:tcPr>
          <w:p w14:paraId="18CD3669">
            <w:pPr>
              <w:spacing w:line="360" w:lineRule="auto"/>
              <w:rPr>
                <w:rFonts w:ascii="宋体" w:hAnsi="宋体" w:eastAsia="宋体"/>
                <w:sz w:val="24"/>
                <w:szCs w:val="24"/>
              </w:rPr>
            </w:pPr>
            <w:r>
              <w:rPr>
                <w:rFonts w:hint="eastAsia" w:ascii="宋体" w:hAnsi="宋体" w:eastAsia="宋体"/>
                <w:sz w:val="24"/>
                <w:szCs w:val="24"/>
              </w:rPr>
              <w:t>双手七十二变</w:t>
            </w:r>
          </w:p>
        </w:tc>
        <w:tc>
          <w:tcPr>
            <w:tcW w:w="1793" w:type="dxa"/>
            <w:tcBorders>
              <w:top w:val="single" w:color="auto" w:sz="4" w:space="0"/>
              <w:left w:val="nil"/>
              <w:bottom w:val="single" w:color="auto" w:sz="4" w:space="0"/>
              <w:right w:val="single" w:color="auto" w:sz="4" w:space="0"/>
            </w:tcBorders>
            <w:vAlign w:val="center"/>
          </w:tcPr>
          <w:p w14:paraId="624B77CB">
            <w:pPr>
              <w:spacing w:line="360" w:lineRule="auto"/>
              <w:jc w:val="center"/>
              <w:rPr>
                <w:rFonts w:ascii="宋体" w:hAnsi="宋体" w:eastAsia="宋体"/>
                <w:sz w:val="24"/>
                <w:szCs w:val="24"/>
              </w:rPr>
            </w:pPr>
            <w:r>
              <w:rPr>
                <w:rFonts w:ascii="宋体" w:hAnsi="宋体" w:eastAsia="宋体"/>
                <w:sz w:val="24"/>
                <w:szCs w:val="24"/>
              </w:rPr>
              <w:t>320*60*260</w:t>
            </w:r>
          </w:p>
        </w:tc>
        <w:tc>
          <w:tcPr>
            <w:tcW w:w="1084" w:type="dxa"/>
            <w:tcBorders>
              <w:top w:val="single" w:color="auto" w:sz="4" w:space="0"/>
              <w:left w:val="nil"/>
              <w:bottom w:val="single" w:color="auto" w:sz="4" w:space="0"/>
              <w:right w:val="single" w:color="auto" w:sz="4" w:space="0"/>
            </w:tcBorders>
            <w:vAlign w:val="center"/>
          </w:tcPr>
          <w:p w14:paraId="6B944706">
            <w:pPr>
              <w:spacing w:line="360" w:lineRule="auto"/>
              <w:jc w:val="center"/>
              <w:rPr>
                <w:rFonts w:ascii="宋体" w:hAnsi="宋体" w:eastAsia="宋体"/>
                <w:sz w:val="24"/>
                <w:szCs w:val="24"/>
              </w:rPr>
            </w:pPr>
            <w:r>
              <w:rPr>
                <w:rFonts w:hint="eastAsia" w:ascii="宋体" w:hAnsi="宋体" w:eastAsia="宋体"/>
                <w:sz w:val="24"/>
                <w:szCs w:val="24"/>
              </w:rPr>
              <w:t>未知</w:t>
            </w:r>
          </w:p>
        </w:tc>
        <w:tc>
          <w:tcPr>
            <w:tcW w:w="1557" w:type="dxa"/>
            <w:tcBorders>
              <w:top w:val="single" w:color="auto" w:sz="4" w:space="0"/>
              <w:left w:val="nil"/>
              <w:bottom w:val="single" w:color="auto" w:sz="4" w:space="0"/>
              <w:right w:val="single" w:color="auto" w:sz="4" w:space="0"/>
            </w:tcBorders>
            <w:vAlign w:val="center"/>
          </w:tcPr>
          <w:p w14:paraId="05D73BBE">
            <w:pPr>
              <w:spacing w:line="360" w:lineRule="auto"/>
              <w:jc w:val="center"/>
              <w:rPr>
                <w:rFonts w:ascii="宋体" w:hAnsi="宋体" w:eastAsia="宋体"/>
                <w:sz w:val="24"/>
                <w:szCs w:val="24"/>
              </w:rPr>
            </w:pPr>
            <w:r>
              <w:rPr>
                <w:rFonts w:hint="eastAsia" w:ascii="宋体" w:hAnsi="宋体" w:eastAsia="宋体"/>
                <w:sz w:val="24"/>
                <w:szCs w:val="24"/>
              </w:rPr>
              <w:t>可拆卸</w:t>
            </w:r>
          </w:p>
        </w:tc>
      </w:tr>
      <w:tr w14:paraId="2C845EDB">
        <w:tblPrEx>
          <w:tblCellMar>
            <w:top w:w="0" w:type="dxa"/>
            <w:left w:w="28" w:type="dxa"/>
            <w:bottom w:w="0" w:type="dxa"/>
            <w:right w:w="28" w:type="dxa"/>
          </w:tblCellMar>
        </w:tblPrEx>
        <w:trPr>
          <w:trHeight w:val="300" w:hRule="atLeast"/>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14:paraId="797E79A6">
            <w:pPr>
              <w:spacing w:line="360" w:lineRule="auto"/>
              <w:jc w:val="center"/>
              <w:rPr>
                <w:rFonts w:ascii="宋体" w:hAnsi="宋体" w:eastAsia="宋体"/>
                <w:sz w:val="24"/>
                <w:szCs w:val="24"/>
              </w:rPr>
            </w:pPr>
            <w:r>
              <w:rPr>
                <w:rFonts w:hint="eastAsia" w:ascii="宋体" w:hAnsi="宋体" w:eastAsia="宋体"/>
                <w:sz w:val="24"/>
                <w:szCs w:val="24"/>
              </w:rPr>
              <w:t>2</w:t>
            </w:r>
          </w:p>
        </w:tc>
        <w:tc>
          <w:tcPr>
            <w:tcW w:w="127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55154441">
            <w:pPr>
              <w:spacing w:line="360" w:lineRule="auto"/>
              <w:rPr>
                <w:rFonts w:ascii="宋体" w:hAnsi="宋体" w:eastAsia="宋体"/>
                <w:sz w:val="24"/>
                <w:szCs w:val="24"/>
              </w:rPr>
            </w:pPr>
          </w:p>
        </w:tc>
        <w:tc>
          <w:tcPr>
            <w:tcW w:w="2512" w:type="dxa"/>
            <w:tcBorders>
              <w:top w:val="nil"/>
              <w:left w:val="nil"/>
              <w:bottom w:val="single" w:color="auto" w:sz="4" w:space="0"/>
              <w:right w:val="single" w:color="auto" w:sz="4" w:space="0"/>
            </w:tcBorders>
            <w:shd w:val="clear" w:color="auto" w:fill="auto"/>
            <w:vAlign w:val="center"/>
          </w:tcPr>
          <w:p w14:paraId="4E9748CC">
            <w:pPr>
              <w:spacing w:line="360" w:lineRule="auto"/>
              <w:rPr>
                <w:rFonts w:ascii="宋体" w:hAnsi="宋体" w:eastAsia="宋体"/>
                <w:sz w:val="24"/>
                <w:szCs w:val="24"/>
              </w:rPr>
            </w:pPr>
            <w:r>
              <w:rPr>
                <w:rFonts w:hint="eastAsia" w:ascii="宋体" w:hAnsi="宋体" w:eastAsia="宋体"/>
                <w:sz w:val="24"/>
                <w:szCs w:val="24"/>
              </w:rPr>
              <w:t>记忆中的皮影戏</w:t>
            </w:r>
          </w:p>
        </w:tc>
        <w:tc>
          <w:tcPr>
            <w:tcW w:w="1793" w:type="dxa"/>
            <w:tcBorders>
              <w:top w:val="nil"/>
              <w:left w:val="nil"/>
              <w:bottom w:val="single" w:color="auto" w:sz="4" w:space="0"/>
              <w:right w:val="single" w:color="auto" w:sz="4" w:space="0"/>
            </w:tcBorders>
            <w:vAlign w:val="center"/>
          </w:tcPr>
          <w:p w14:paraId="59C04B40">
            <w:pPr>
              <w:spacing w:line="360" w:lineRule="auto"/>
              <w:jc w:val="center"/>
              <w:rPr>
                <w:rFonts w:ascii="宋体" w:hAnsi="宋体" w:eastAsia="宋体"/>
                <w:sz w:val="24"/>
                <w:szCs w:val="24"/>
              </w:rPr>
            </w:pPr>
            <w:r>
              <w:rPr>
                <w:rFonts w:ascii="宋体" w:hAnsi="宋体" w:eastAsia="宋体"/>
                <w:sz w:val="24"/>
                <w:szCs w:val="24"/>
              </w:rPr>
              <w:t>230*230*250</w:t>
            </w:r>
          </w:p>
        </w:tc>
        <w:tc>
          <w:tcPr>
            <w:tcW w:w="1084" w:type="dxa"/>
            <w:tcBorders>
              <w:top w:val="nil"/>
              <w:left w:val="nil"/>
              <w:bottom w:val="single" w:color="auto" w:sz="4" w:space="0"/>
              <w:right w:val="single" w:color="auto" w:sz="4" w:space="0"/>
            </w:tcBorders>
            <w:vAlign w:val="center"/>
          </w:tcPr>
          <w:p w14:paraId="4109FDC7">
            <w:pPr>
              <w:spacing w:line="360" w:lineRule="auto"/>
              <w:jc w:val="center"/>
              <w:rPr>
                <w:rFonts w:ascii="宋体" w:hAnsi="宋体" w:eastAsia="宋体"/>
                <w:sz w:val="24"/>
                <w:szCs w:val="24"/>
              </w:rPr>
            </w:pPr>
            <w:r>
              <w:rPr>
                <w:rFonts w:hint="eastAsia" w:ascii="宋体" w:hAnsi="宋体" w:eastAsia="宋体"/>
                <w:sz w:val="24"/>
                <w:szCs w:val="24"/>
              </w:rPr>
              <w:t>未知</w:t>
            </w:r>
          </w:p>
        </w:tc>
        <w:tc>
          <w:tcPr>
            <w:tcW w:w="1557" w:type="dxa"/>
            <w:tcBorders>
              <w:top w:val="nil"/>
              <w:left w:val="nil"/>
              <w:bottom w:val="single" w:color="auto" w:sz="4" w:space="0"/>
              <w:right w:val="single" w:color="auto" w:sz="4" w:space="0"/>
            </w:tcBorders>
            <w:vAlign w:val="center"/>
          </w:tcPr>
          <w:p w14:paraId="55FADC9D">
            <w:pPr>
              <w:spacing w:line="360" w:lineRule="auto"/>
              <w:jc w:val="center"/>
              <w:rPr>
                <w:rFonts w:ascii="宋体" w:hAnsi="宋体" w:eastAsia="宋体"/>
                <w:sz w:val="24"/>
                <w:szCs w:val="24"/>
              </w:rPr>
            </w:pPr>
            <w:r>
              <w:rPr>
                <w:rFonts w:hint="eastAsia" w:ascii="宋体" w:hAnsi="宋体" w:eastAsia="宋体"/>
                <w:sz w:val="24"/>
                <w:szCs w:val="24"/>
              </w:rPr>
              <w:t>可拆卸</w:t>
            </w:r>
          </w:p>
        </w:tc>
      </w:tr>
      <w:tr w14:paraId="2BA83E9E">
        <w:tblPrEx>
          <w:tblCellMar>
            <w:top w:w="0" w:type="dxa"/>
            <w:left w:w="28" w:type="dxa"/>
            <w:bottom w:w="0" w:type="dxa"/>
            <w:right w:w="28" w:type="dxa"/>
          </w:tblCellMar>
        </w:tblPrEx>
        <w:trPr>
          <w:trHeight w:val="300" w:hRule="atLeast"/>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14:paraId="28831830">
            <w:pPr>
              <w:spacing w:line="360" w:lineRule="auto"/>
              <w:jc w:val="center"/>
              <w:rPr>
                <w:rFonts w:ascii="宋体" w:hAnsi="宋体" w:eastAsia="宋体"/>
                <w:sz w:val="24"/>
                <w:szCs w:val="24"/>
              </w:rPr>
            </w:pPr>
            <w:r>
              <w:rPr>
                <w:rFonts w:hint="eastAsia" w:ascii="宋体" w:hAnsi="宋体" w:eastAsia="宋体"/>
                <w:sz w:val="24"/>
                <w:szCs w:val="24"/>
              </w:rPr>
              <w:t>3</w:t>
            </w:r>
          </w:p>
        </w:tc>
        <w:tc>
          <w:tcPr>
            <w:tcW w:w="127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3E007CF">
            <w:pPr>
              <w:spacing w:line="360" w:lineRule="auto"/>
              <w:rPr>
                <w:rFonts w:ascii="宋体" w:hAnsi="宋体" w:eastAsia="宋体"/>
                <w:sz w:val="24"/>
                <w:szCs w:val="24"/>
              </w:rPr>
            </w:pPr>
          </w:p>
        </w:tc>
        <w:tc>
          <w:tcPr>
            <w:tcW w:w="2512" w:type="dxa"/>
            <w:tcBorders>
              <w:top w:val="nil"/>
              <w:left w:val="nil"/>
              <w:bottom w:val="single" w:color="auto" w:sz="4" w:space="0"/>
              <w:right w:val="single" w:color="auto" w:sz="4" w:space="0"/>
            </w:tcBorders>
            <w:shd w:val="clear" w:color="auto" w:fill="auto"/>
            <w:vAlign w:val="center"/>
          </w:tcPr>
          <w:p w14:paraId="19517183">
            <w:pPr>
              <w:spacing w:line="360" w:lineRule="auto"/>
              <w:rPr>
                <w:rFonts w:ascii="宋体" w:hAnsi="宋体" w:eastAsia="宋体"/>
                <w:sz w:val="24"/>
                <w:szCs w:val="24"/>
              </w:rPr>
            </w:pPr>
            <w:r>
              <w:rPr>
                <w:rFonts w:hint="eastAsia" w:ascii="宋体" w:hAnsi="宋体" w:eastAsia="宋体"/>
                <w:sz w:val="24"/>
                <w:szCs w:val="24"/>
              </w:rPr>
              <w:t>皮影戏中的光影关系</w:t>
            </w:r>
          </w:p>
        </w:tc>
        <w:tc>
          <w:tcPr>
            <w:tcW w:w="1793" w:type="dxa"/>
            <w:tcBorders>
              <w:top w:val="nil"/>
              <w:left w:val="nil"/>
              <w:bottom w:val="single" w:color="auto" w:sz="4" w:space="0"/>
              <w:right w:val="single" w:color="auto" w:sz="4" w:space="0"/>
            </w:tcBorders>
            <w:vAlign w:val="center"/>
          </w:tcPr>
          <w:p w14:paraId="6421F1C4">
            <w:pPr>
              <w:spacing w:line="360" w:lineRule="auto"/>
              <w:jc w:val="center"/>
              <w:rPr>
                <w:rFonts w:ascii="宋体" w:hAnsi="宋体" w:eastAsia="宋体"/>
                <w:sz w:val="24"/>
                <w:szCs w:val="24"/>
              </w:rPr>
            </w:pPr>
            <w:r>
              <w:rPr>
                <w:rFonts w:ascii="宋体" w:hAnsi="宋体" w:eastAsia="宋体"/>
                <w:sz w:val="24"/>
                <w:szCs w:val="24"/>
              </w:rPr>
              <w:t>120*80*120</w:t>
            </w:r>
          </w:p>
        </w:tc>
        <w:tc>
          <w:tcPr>
            <w:tcW w:w="1084" w:type="dxa"/>
            <w:tcBorders>
              <w:top w:val="nil"/>
              <w:left w:val="nil"/>
              <w:bottom w:val="single" w:color="auto" w:sz="4" w:space="0"/>
              <w:right w:val="single" w:color="auto" w:sz="4" w:space="0"/>
            </w:tcBorders>
            <w:vAlign w:val="center"/>
          </w:tcPr>
          <w:p w14:paraId="45F051A5">
            <w:pPr>
              <w:spacing w:line="360" w:lineRule="auto"/>
              <w:jc w:val="center"/>
              <w:rPr>
                <w:rFonts w:ascii="宋体" w:hAnsi="宋体" w:eastAsia="宋体"/>
                <w:sz w:val="24"/>
                <w:szCs w:val="24"/>
              </w:rPr>
            </w:pPr>
            <w:r>
              <w:rPr>
                <w:rFonts w:hint="eastAsia" w:ascii="宋体" w:hAnsi="宋体" w:eastAsia="宋体"/>
                <w:sz w:val="24"/>
                <w:szCs w:val="24"/>
              </w:rPr>
              <w:t>未知</w:t>
            </w:r>
          </w:p>
        </w:tc>
        <w:tc>
          <w:tcPr>
            <w:tcW w:w="1557" w:type="dxa"/>
            <w:tcBorders>
              <w:top w:val="nil"/>
              <w:left w:val="nil"/>
              <w:bottom w:val="single" w:color="auto" w:sz="4" w:space="0"/>
              <w:right w:val="single" w:color="auto" w:sz="4" w:space="0"/>
            </w:tcBorders>
            <w:vAlign w:val="center"/>
          </w:tcPr>
          <w:p w14:paraId="4AFCC8A0">
            <w:pPr>
              <w:spacing w:line="360" w:lineRule="auto"/>
              <w:jc w:val="center"/>
              <w:rPr>
                <w:rFonts w:ascii="宋体" w:hAnsi="宋体" w:eastAsia="宋体"/>
                <w:sz w:val="24"/>
                <w:szCs w:val="24"/>
              </w:rPr>
            </w:pPr>
            <w:r>
              <w:rPr>
                <w:rFonts w:hint="eastAsia" w:ascii="宋体" w:hAnsi="宋体" w:eastAsia="宋体"/>
                <w:sz w:val="24"/>
                <w:szCs w:val="24"/>
              </w:rPr>
              <w:t>不可拆卸</w:t>
            </w:r>
          </w:p>
        </w:tc>
      </w:tr>
      <w:tr w14:paraId="2751D260">
        <w:tblPrEx>
          <w:tblCellMar>
            <w:top w:w="0" w:type="dxa"/>
            <w:left w:w="28" w:type="dxa"/>
            <w:bottom w:w="0" w:type="dxa"/>
            <w:right w:w="28" w:type="dxa"/>
          </w:tblCellMar>
        </w:tblPrEx>
        <w:trPr>
          <w:trHeight w:val="300" w:hRule="atLeast"/>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14:paraId="454FB28A">
            <w:pPr>
              <w:spacing w:line="360" w:lineRule="auto"/>
              <w:jc w:val="center"/>
              <w:rPr>
                <w:rFonts w:ascii="宋体" w:hAnsi="宋体" w:eastAsia="宋体"/>
                <w:sz w:val="24"/>
                <w:szCs w:val="24"/>
              </w:rPr>
            </w:pPr>
            <w:r>
              <w:rPr>
                <w:rFonts w:hint="eastAsia" w:ascii="宋体" w:hAnsi="宋体" w:eastAsia="宋体"/>
                <w:sz w:val="24"/>
                <w:szCs w:val="24"/>
              </w:rPr>
              <w:t>4</w:t>
            </w:r>
          </w:p>
        </w:tc>
        <w:tc>
          <w:tcPr>
            <w:tcW w:w="127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5A1D9DC0">
            <w:pPr>
              <w:spacing w:line="360" w:lineRule="auto"/>
              <w:rPr>
                <w:rFonts w:ascii="宋体" w:hAnsi="宋体" w:eastAsia="宋体"/>
                <w:sz w:val="24"/>
                <w:szCs w:val="24"/>
              </w:rPr>
            </w:pPr>
          </w:p>
        </w:tc>
        <w:tc>
          <w:tcPr>
            <w:tcW w:w="2512" w:type="dxa"/>
            <w:tcBorders>
              <w:top w:val="nil"/>
              <w:left w:val="nil"/>
              <w:bottom w:val="single" w:color="auto" w:sz="4" w:space="0"/>
              <w:right w:val="single" w:color="auto" w:sz="4" w:space="0"/>
            </w:tcBorders>
            <w:shd w:val="clear" w:color="auto" w:fill="auto"/>
            <w:vAlign w:val="center"/>
          </w:tcPr>
          <w:p w14:paraId="6B3BF10E">
            <w:pPr>
              <w:spacing w:line="360" w:lineRule="auto"/>
              <w:rPr>
                <w:rFonts w:ascii="宋体" w:hAnsi="宋体" w:eastAsia="宋体"/>
                <w:sz w:val="24"/>
                <w:szCs w:val="24"/>
              </w:rPr>
            </w:pPr>
            <w:r>
              <w:rPr>
                <w:rFonts w:hint="eastAsia" w:ascii="宋体" w:hAnsi="宋体" w:eastAsia="宋体"/>
                <w:sz w:val="24"/>
                <w:szCs w:val="24"/>
              </w:rPr>
              <w:t>皮影的色彩</w:t>
            </w:r>
          </w:p>
        </w:tc>
        <w:tc>
          <w:tcPr>
            <w:tcW w:w="1793" w:type="dxa"/>
            <w:tcBorders>
              <w:top w:val="nil"/>
              <w:left w:val="nil"/>
              <w:bottom w:val="single" w:color="auto" w:sz="4" w:space="0"/>
              <w:right w:val="single" w:color="auto" w:sz="4" w:space="0"/>
            </w:tcBorders>
            <w:vAlign w:val="center"/>
          </w:tcPr>
          <w:p w14:paraId="540B88F6">
            <w:pPr>
              <w:spacing w:line="360" w:lineRule="auto"/>
              <w:jc w:val="center"/>
              <w:rPr>
                <w:rFonts w:ascii="宋体" w:hAnsi="宋体" w:eastAsia="宋体"/>
                <w:sz w:val="24"/>
                <w:szCs w:val="24"/>
              </w:rPr>
            </w:pPr>
            <w:r>
              <w:rPr>
                <w:rFonts w:ascii="宋体" w:hAnsi="宋体" w:eastAsia="宋体"/>
                <w:sz w:val="24"/>
                <w:szCs w:val="24"/>
              </w:rPr>
              <w:t>120*80*120</w:t>
            </w:r>
          </w:p>
        </w:tc>
        <w:tc>
          <w:tcPr>
            <w:tcW w:w="1084" w:type="dxa"/>
            <w:tcBorders>
              <w:top w:val="nil"/>
              <w:left w:val="nil"/>
              <w:bottom w:val="single" w:color="auto" w:sz="4" w:space="0"/>
              <w:right w:val="single" w:color="auto" w:sz="4" w:space="0"/>
            </w:tcBorders>
            <w:vAlign w:val="center"/>
          </w:tcPr>
          <w:p w14:paraId="6C970BBF">
            <w:pPr>
              <w:spacing w:line="360" w:lineRule="auto"/>
              <w:jc w:val="center"/>
              <w:rPr>
                <w:rFonts w:ascii="宋体" w:hAnsi="宋体" w:eastAsia="宋体"/>
                <w:sz w:val="24"/>
                <w:szCs w:val="24"/>
              </w:rPr>
            </w:pPr>
            <w:r>
              <w:rPr>
                <w:rFonts w:hint="eastAsia" w:ascii="宋体" w:hAnsi="宋体" w:eastAsia="宋体"/>
                <w:sz w:val="24"/>
                <w:szCs w:val="24"/>
              </w:rPr>
              <w:t>未知</w:t>
            </w:r>
          </w:p>
        </w:tc>
        <w:tc>
          <w:tcPr>
            <w:tcW w:w="1557" w:type="dxa"/>
            <w:tcBorders>
              <w:top w:val="nil"/>
              <w:left w:val="nil"/>
              <w:bottom w:val="single" w:color="auto" w:sz="4" w:space="0"/>
              <w:right w:val="single" w:color="auto" w:sz="4" w:space="0"/>
            </w:tcBorders>
            <w:vAlign w:val="center"/>
          </w:tcPr>
          <w:p w14:paraId="4BDBC3B6">
            <w:pPr>
              <w:spacing w:line="360" w:lineRule="auto"/>
              <w:jc w:val="center"/>
              <w:rPr>
                <w:rFonts w:ascii="宋体" w:hAnsi="宋体" w:eastAsia="宋体"/>
                <w:sz w:val="24"/>
                <w:szCs w:val="24"/>
              </w:rPr>
            </w:pPr>
            <w:r>
              <w:rPr>
                <w:rFonts w:hint="eastAsia" w:ascii="宋体" w:hAnsi="宋体" w:eastAsia="宋体"/>
                <w:sz w:val="24"/>
                <w:szCs w:val="24"/>
              </w:rPr>
              <w:t>不可拆卸</w:t>
            </w:r>
          </w:p>
        </w:tc>
      </w:tr>
      <w:tr w14:paraId="2F13E7E2">
        <w:tblPrEx>
          <w:tblCellMar>
            <w:top w:w="0" w:type="dxa"/>
            <w:left w:w="28" w:type="dxa"/>
            <w:bottom w:w="0" w:type="dxa"/>
            <w:right w:w="28" w:type="dxa"/>
          </w:tblCellMar>
        </w:tblPrEx>
        <w:trPr>
          <w:trHeight w:val="300" w:hRule="atLeast"/>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14:paraId="16E3C378">
            <w:pPr>
              <w:spacing w:line="360" w:lineRule="auto"/>
              <w:jc w:val="center"/>
              <w:rPr>
                <w:rFonts w:ascii="宋体" w:hAnsi="宋体" w:eastAsia="宋体"/>
                <w:sz w:val="24"/>
                <w:szCs w:val="24"/>
              </w:rPr>
            </w:pPr>
            <w:r>
              <w:rPr>
                <w:rFonts w:hint="eastAsia" w:ascii="宋体" w:hAnsi="宋体" w:eastAsia="宋体"/>
                <w:sz w:val="24"/>
                <w:szCs w:val="24"/>
              </w:rPr>
              <w:t>5</w:t>
            </w:r>
          </w:p>
        </w:tc>
        <w:tc>
          <w:tcPr>
            <w:tcW w:w="127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27A4F19D">
            <w:pPr>
              <w:spacing w:line="360" w:lineRule="auto"/>
              <w:rPr>
                <w:rFonts w:ascii="宋体" w:hAnsi="宋体" w:eastAsia="宋体"/>
                <w:sz w:val="24"/>
                <w:szCs w:val="24"/>
              </w:rPr>
            </w:pPr>
          </w:p>
        </w:tc>
        <w:tc>
          <w:tcPr>
            <w:tcW w:w="2512" w:type="dxa"/>
            <w:tcBorders>
              <w:top w:val="nil"/>
              <w:left w:val="nil"/>
              <w:bottom w:val="single" w:color="auto" w:sz="4" w:space="0"/>
              <w:right w:val="single" w:color="auto" w:sz="4" w:space="0"/>
            </w:tcBorders>
            <w:shd w:val="clear" w:color="auto" w:fill="auto"/>
            <w:vAlign w:val="center"/>
          </w:tcPr>
          <w:p w14:paraId="70C4944E">
            <w:pPr>
              <w:spacing w:line="360" w:lineRule="auto"/>
              <w:rPr>
                <w:rFonts w:ascii="宋体" w:hAnsi="宋体" w:eastAsia="宋体"/>
                <w:sz w:val="24"/>
                <w:szCs w:val="24"/>
              </w:rPr>
            </w:pPr>
            <w:r>
              <w:rPr>
                <w:rFonts w:hint="eastAsia" w:ascii="宋体" w:hAnsi="宋体" w:eastAsia="宋体"/>
                <w:sz w:val="24"/>
                <w:szCs w:val="24"/>
              </w:rPr>
              <w:t>皮影戏光源的变迁</w:t>
            </w:r>
          </w:p>
        </w:tc>
        <w:tc>
          <w:tcPr>
            <w:tcW w:w="1793" w:type="dxa"/>
            <w:tcBorders>
              <w:top w:val="nil"/>
              <w:left w:val="nil"/>
              <w:bottom w:val="single" w:color="auto" w:sz="4" w:space="0"/>
              <w:right w:val="single" w:color="auto" w:sz="4" w:space="0"/>
            </w:tcBorders>
            <w:vAlign w:val="center"/>
          </w:tcPr>
          <w:p w14:paraId="385CDA5A">
            <w:pPr>
              <w:spacing w:line="360" w:lineRule="auto"/>
              <w:jc w:val="center"/>
              <w:rPr>
                <w:rFonts w:ascii="宋体" w:hAnsi="宋体" w:eastAsia="宋体"/>
                <w:sz w:val="24"/>
                <w:szCs w:val="24"/>
              </w:rPr>
            </w:pPr>
            <w:r>
              <w:rPr>
                <w:rFonts w:ascii="宋体" w:hAnsi="宋体" w:eastAsia="宋体"/>
                <w:sz w:val="24"/>
                <w:szCs w:val="24"/>
              </w:rPr>
              <w:t>140*40*200</w:t>
            </w:r>
          </w:p>
        </w:tc>
        <w:tc>
          <w:tcPr>
            <w:tcW w:w="1084" w:type="dxa"/>
            <w:tcBorders>
              <w:top w:val="nil"/>
              <w:left w:val="nil"/>
              <w:bottom w:val="single" w:color="auto" w:sz="4" w:space="0"/>
              <w:right w:val="single" w:color="auto" w:sz="4" w:space="0"/>
            </w:tcBorders>
            <w:vAlign w:val="center"/>
          </w:tcPr>
          <w:p w14:paraId="05CDB405">
            <w:pPr>
              <w:spacing w:line="360" w:lineRule="auto"/>
              <w:jc w:val="center"/>
              <w:rPr>
                <w:rFonts w:ascii="宋体" w:hAnsi="宋体" w:eastAsia="宋体"/>
                <w:sz w:val="24"/>
                <w:szCs w:val="24"/>
              </w:rPr>
            </w:pPr>
            <w:r>
              <w:rPr>
                <w:rFonts w:hint="eastAsia" w:ascii="宋体" w:hAnsi="宋体" w:eastAsia="宋体"/>
                <w:sz w:val="24"/>
                <w:szCs w:val="24"/>
              </w:rPr>
              <w:t>未知</w:t>
            </w:r>
          </w:p>
        </w:tc>
        <w:tc>
          <w:tcPr>
            <w:tcW w:w="1557" w:type="dxa"/>
            <w:tcBorders>
              <w:top w:val="nil"/>
              <w:left w:val="nil"/>
              <w:bottom w:val="single" w:color="auto" w:sz="4" w:space="0"/>
              <w:right w:val="single" w:color="auto" w:sz="4" w:space="0"/>
            </w:tcBorders>
            <w:vAlign w:val="center"/>
          </w:tcPr>
          <w:p w14:paraId="72226900">
            <w:pPr>
              <w:spacing w:line="360" w:lineRule="auto"/>
              <w:jc w:val="center"/>
              <w:rPr>
                <w:rFonts w:ascii="宋体" w:hAnsi="宋体" w:eastAsia="宋体"/>
                <w:sz w:val="24"/>
                <w:szCs w:val="24"/>
              </w:rPr>
            </w:pPr>
            <w:r>
              <w:rPr>
                <w:rFonts w:hint="eastAsia" w:ascii="宋体" w:hAnsi="宋体" w:eastAsia="宋体"/>
                <w:sz w:val="24"/>
                <w:szCs w:val="24"/>
              </w:rPr>
              <w:t>不可拆卸</w:t>
            </w:r>
          </w:p>
        </w:tc>
      </w:tr>
      <w:tr w14:paraId="604F1798">
        <w:tblPrEx>
          <w:tblCellMar>
            <w:top w:w="0" w:type="dxa"/>
            <w:left w:w="28" w:type="dxa"/>
            <w:bottom w:w="0" w:type="dxa"/>
            <w:right w:w="28" w:type="dxa"/>
          </w:tblCellMar>
        </w:tblPrEx>
        <w:trPr>
          <w:trHeight w:val="20" w:hRule="atLeast"/>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14:paraId="0CDA5B14">
            <w:pPr>
              <w:spacing w:line="360" w:lineRule="auto"/>
              <w:jc w:val="center"/>
              <w:rPr>
                <w:rFonts w:ascii="宋体" w:hAnsi="宋体" w:eastAsia="宋体"/>
                <w:sz w:val="24"/>
                <w:szCs w:val="24"/>
              </w:rPr>
            </w:pPr>
            <w:r>
              <w:rPr>
                <w:rFonts w:hint="eastAsia" w:ascii="宋体" w:hAnsi="宋体" w:eastAsia="宋体"/>
                <w:sz w:val="24"/>
                <w:szCs w:val="24"/>
              </w:rPr>
              <w:t>6</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14:paraId="654C1070">
            <w:pPr>
              <w:spacing w:line="360" w:lineRule="auto"/>
              <w:rPr>
                <w:rFonts w:ascii="宋体" w:hAnsi="宋体" w:eastAsia="宋体"/>
                <w:sz w:val="24"/>
                <w:szCs w:val="24"/>
              </w:rPr>
            </w:pPr>
            <w:r>
              <w:rPr>
                <w:rFonts w:hint="eastAsia" w:ascii="宋体" w:hAnsi="宋体" w:eastAsia="宋体"/>
                <w:sz w:val="24"/>
                <w:szCs w:val="24"/>
              </w:rPr>
              <w:t>纸皮百万兵</w:t>
            </w:r>
          </w:p>
        </w:tc>
        <w:tc>
          <w:tcPr>
            <w:tcW w:w="2512" w:type="dxa"/>
            <w:tcBorders>
              <w:top w:val="nil"/>
              <w:left w:val="nil"/>
              <w:bottom w:val="single" w:color="auto" w:sz="4" w:space="0"/>
              <w:right w:val="single" w:color="auto" w:sz="4" w:space="0"/>
            </w:tcBorders>
            <w:shd w:val="clear" w:color="auto" w:fill="auto"/>
            <w:vAlign w:val="center"/>
          </w:tcPr>
          <w:p w14:paraId="07EDDADE">
            <w:pPr>
              <w:spacing w:line="360" w:lineRule="auto"/>
              <w:rPr>
                <w:rFonts w:ascii="宋体" w:hAnsi="宋体" w:eastAsia="宋体"/>
                <w:sz w:val="24"/>
                <w:szCs w:val="24"/>
              </w:rPr>
            </w:pPr>
            <w:r>
              <w:rPr>
                <w:rFonts w:hint="eastAsia" w:ascii="宋体" w:hAnsi="宋体" w:eastAsia="宋体"/>
                <w:sz w:val="24"/>
                <w:szCs w:val="24"/>
              </w:rPr>
              <w:t>形形色色的皮影</w:t>
            </w:r>
          </w:p>
        </w:tc>
        <w:tc>
          <w:tcPr>
            <w:tcW w:w="1793" w:type="dxa"/>
            <w:tcBorders>
              <w:top w:val="nil"/>
              <w:left w:val="nil"/>
              <w:bottom w:val="single" w:color="auto" w:sz="4" w:space="0"/>
              <w:right w:val="single" w:color="auto" w:sz="4" w:space="0"/>
            </w:tcBorders>
            <w:vAlign w:val="center"/>
          </w:tcPr>
          <w:p w14:paraId="42E9A7A8">
            <w:pPr>
              <w:spacing w:line="360" w:lineRule="auto"/>
              <w:jc w:val="center"/>
              <w:rPr>
                <w:rFonts w:ascii="宋体" w:hAnsi="宋体" w:eastAsia="宋体"/>
                <w:sz w:val="24"/>
                <w:szCs w:val="24"/>
              </w:rPr>
            </w:pPr>
            <w:r>
              <w:rPr>
                <w:rFonts w:ascii="宋体" w:hAnsi="宋体" w:eastAsia="宋体"/>
                <w:sz w:val="24"/>
                <w:szCs w:val="24"/>
              </w:rPr>
              <w:t>120*60*120</w:t>
            </w:r>
          </w:p>
          <w:p w14:paraId="2F9B8921">
            <w:pPr>
              <w:spacing w:line="360" w:lineRule="auto"/>
              <w:jc w:val="center"/>
              <w:rPr>
                <w:rFonts w:ascii="宋体" w:hAnsi="宋体" w:eastAsia="宋体"/>
                <w:sz w:val="24"/>
                <w:szCs w:val="24"/>
              </w:rPr>
            </w:pPr>
            <w:r>
              <w:rPr>
                <w:rFonts w:ascii="宋体" w:hAnsi="宋体" w:eastAsia="宋体"/>
                <w:sz w:val="24"/>
                <w:szCs w:val="24"/>
              </w:rPr>
              <w:t>120*60*120</w:t>
            </w:r>
          </w:p>
        </w:tc>
        <w:tc>
          <w:tcPr>
            <w:tcW w:w="1084" w:type="dxa"/>
            <w:tcBorders>
              <w:top w:val="nil"/>
              <w:left w:val="nil"/>
              <w:bottom w:val="single" w:color="auto" w:sz="4" w:space="0"/>
              <w:right w:val="single" w:color="auto" w:sz="4" w:space="0"/>
            </w:tcBorders>
            <w:vAlign w:val="center"/>
          </w:tcPr>
          <w:p w14:paraId="219BEC66">
            <w:pPr>
              <w:spacing w:line="360" w:lineRule="auto"/>
              <w:jc w:val="center"/>
              <w:rPr>
                <w:rFonts w:ascii="宋体" w:hAnsi="宋体" w:eastAsia="宋体"/>
                <w:sz w:val="24"/>
                <w:szCs w:val="24"/>
              </w:rPr>
            </w:pPr>
            <w:r>
              <w:rPr>
                <w:rFonts w:hint="eastAsia" w:ascii="宋体" w:hAnsi="宋体" w:eastAsia="宋体"/>
                <w:sz w:val="24"/>
                <w:szCs w:val="24"/>
              </w:rPr>
              <w:t>未知</w:t>
            </w:r>
          </w:p>
        </w:tc>
        <w:tc>
          <w:tcPr>
            <w:tcW w:w="1557" w:type="dxa"/>
            <w:tcBorders>
              <w:top w:val="nil"/>
              <w:left w:val="nil"/>
              <w:bottom w:val="single" w:color="auto" w:sz="4" w:space="0"/>
              <w:right w:val="single" w:color="auto" w:sz="4" w:space="0"/>
            </w:tcBorders>
            <w:vAlign w:val="center"/>
          </w:tcPr>
          <w:p w14:paraId="6F494E24">
            <w:pPr>
              <w:spacing w:line="360" w:lineRule="auto"/>
              <w:jc w:val="center"/>
              <w:rPr>
                <w:rFonts w:ascii="宋体" w:hAnsi="宋体" w:eastAsia="宋体"/>
                <w:sz w:val="24"/>
                <w:szCs w:val="24"/>
              </w:rPr>
            </w:pPr>
            <w:r>
              <w:rPr>
                <w:rFonts w:hint="eastAsia" w:ascii="宋体" w:hAnsi="宋体" w:eastAsia="宋体"/>
                <w:sz w:val="24"/>
                <w:szCs w:val="24"/>
              </w:rPr>
              <w:t>不可拆卸</w:t>
            </w:r>
          </w:p>
        </w:tc>
      </w:tr>
      <w:tr w14:paraId="31CA2E9A">
        <w:tblPrEx>
          <w:tblCellMar>
            <w:top w:w="0" w:type="dxa"/>
            <w:left w:w="28" w:type="dxa"/>
            <w:bottom w:w="0" w:type="dxa"/>
            <w:right w:w="28" w:type="dxa"/>
          </w:tblCellMar>
        </w:tblPrEx>
        <w:trPr>
          <w:trHeight w:val="285" w:hRule="atLeast"/>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14:paraId="0CE43694">
            <w:pPr>
              <w:spacing w:line="360" w:lineRule="auto"/>
              <w:jc w:val="center"/>
              <w:rPr>
                <w:rFonts w:ascii="宋体" w:hAnsi="宋体" w:eastAsia="宋体"/>
                <w:sz w:val="24"/>
                <w:szCs w:val="24"/>
              </w:rPr>
            </w:pPr>
            <w:r>
              <w:rPr>
                <w:rFonts w:hint="eastAsia" w:ascii="宋体" w:hAnsi="宋体" w:eastAsia="宋体"/>
                <w:sz w:val="24"/>
                <w:szCs w:val="24"/>
              </w:rPr>
              <w:t>7</w:t>
            </w: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0A054C50">
            <w:pPr>
              <w:spacing w:line="360" w:lineRule="auto"/>
              <w:rPr>
                <w:rFonts w:ascii="宋体" w:hAnsi="宋体" w:eastAsia="宋体"/>
                <w:sz w:val="24"/>
                <w:szCs w:val="24"/>
              </w:rPr>
            </w:pPr>
          </w:p>
        </w:tc>
        <w:tc>
          <w:tcPr>
            <w:tcW w:w="2512" w:type="dxa"/>
            <w:tcBorders>
              <w:top w:val="nil"/>
              <w:left w:val="nil"/>
              <w:bottom w:val="single" w:color="auto" w:sz="4" w:space="0"/>
              <w:right w:val="single" w:color="auto" w:sz="4" w:space="0"/>
            </w:tcBorders>
            <w:shd w:val="clear" w:color="auto" w:fill="auto"/>
            <w:vAlign w:val="center"/>
          </w:tcPr>
          <w:p w14:paraId="7DB40FB4">
            <w:pPr>
              <w:spacing w:line="360" w:lineRule="auto"/>
              <w:rPr>
                <w:rFonts w:ascii="宋体" w:hAnsi="宋体" w:eastAsia="宋体"/>
                <w:sz w:val="24"/>
                <w:szCs w:val="24"/>
              </w:rPr>
            </w:pPr>
            <w:r>
              <w:rPr>
                <w:rFonts w:hint="eastAsia" w:ascii="宋体" w:hAnsi="宋体" w:eastAsia="宋体"/>
                <w:sz w:val="24"/>
                <w:szCs w:val="24"/>
              </w:rPr>
              <w:t>皮影的制作工艺流程</w:t>
            </w:r>
          </w:p>
        </w:tc>
        <w:tc>
          <w:tcPr>
            <w:tcW w:w="1793" w:type="dxa"/>
            <w:tcBorders>
              <w:top w:val="nil"/>
              <w:left w:val="nil"/>
              <w:bottom w:val="single" w:color="auto" w:sz="4" w:space="0"/>
              <w:right w:val="single" w:color="auto" w:sz="4" w:space="0"/>
            </w:tcBorders>
            <w:vAlign w:val="center"/>
          </w:tcPr>
          <w:p w14:paraId="07B056EB">
            <w:pPr>
              <w:spacing w:line="360" w:lineRule="auto"/>
              <w:jc w:val="center"/>
              <w:rPr>
                <w:rFonts w:ascii="宋体" w:hAnsi="宋体" w:eastAsia="宋体"/>
                <w:sz w:val="24"/>
                <w:szCs w:val="24"/>
              </w:rPr>
            </w:pPr>
            <w:r>
              <w:rPr>
                <w:rFonts w:ascii="宋体" w:hAnsi="宋体" w:eastAsia="宋体"/>
                <w:sz w:val="24"/>
                <w:szCs w:val="24"/>
              </w:rPr>
              <w:t>280*40*300</w:t>
            </w:r>
          </w:p>
        </w:tc>
        <w:tc>
          <w:tcPr>
            <w:tcW w:w="1084" w:type="dxa"/>
            <w:tcBorders>
              <w:top w:val="nil"/>
              <w:left w:val="nil"/>
              <w:bottom w:val="single" w:color="auto" w:sz="4" w:space="0"/>
              <w:right w:val="single" w:color="auto" w:sz="4" w:space="0"/>
            </w:tcBorders>
            <w:vAlign w:val="center"/>
          </w:tcPr>
          <w:p w14:paraId="2FB5E40F">
            <w:pPr>
              <w:spacing w:line="360" w:lineRule="auto"/>
              <w:jc w:val="center"/>
              <w:rPr>
                <w:rFonts w:ascii="宋体" w:hAnsi="宋体" w:eastAsia="宋体"/>
                <w:sz w:val="24"/>
                <w:szCs w:val="24"/>
              </w:rPr>
            </w:pPr>
            <w:r>
              <w:rPr>
                <w:rFonts w:hint="eastAsia" w:ascii="宋体" w:hAnsi="宋体" w:eastAsia="宋体"/>
                <w:sz w:val="24"/>
                <w:szCs w:val="24"/>
              </w:rPr>
              <w:t>未知</w:t>
            </w:r>
          </w:p>
        </w:tc>
        <w:tc>
          <w:tcPr>
            <w:tcW w:w="1557" w:type="dxa"/>
            <w:tcBorders>
              <w:top w:val="nil"/>
              <w:left w:val="nil"/>
              <w:bottom w:val="single" w:color="auto" w:sz="4" w:space="0"/>
              <w:right w:val="single" w:color="auto" w:sz="4" w:space="0"/>
            </w:tcBorders>
            <w:vAlign w:val="center"/>
          </w:tcPr>
          <w:p w14:paraId="7FBB958F">
            <w:pPr>
              <w:spacing w:line="360" w:lineRule="auto"/>
              <w:jc w:val="center"/>
              <w:rPr>
                <w:rFonts w:ascii="宋体" w:hAnsi="宋体" w:eastAsia="宋体"/>
                <w:sz w:val="24"/>
                <w:szCs w:val="24"/>
              </w:rPr>
            </w:pPr>
            <w:r>
              <w:rPr>
                <w:rFonts w:hint="eastAsia" w:ascii="宋体" w:hAnsi="宋体" w:eastAsia="宋体"/>
                <w:sz w:val="24"/>
                <w:szCs w:val="24"/>
              </w:rPr>
              <w:t>可拆卸</w:t>
            </w:r>
          </w:p>
        </w:tc>
      </w:tr>
      <w:tr w14:paraId="48E9FB3F">
        <w:tblPrEx>
          <w:tblCellMar>
            <w:top w:w="0" w:type="dxa"/>
            <w:left w:w="28" w:type="dxa"/>
            <w:bottom w:w="0" w:type="dxa"/>
            <w:right w:w="28" w:type="dxa"/>
          </w:tblCellMar>
        </w:tblPrEx>
        <w:trPr>
          <w:trHeight w:val="28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A1573">
            <w:pPr>
              <w:spacing w:line="360" w:lineRule="auto"/>
              <w:jc w:val="center"/>
              <w:rPr>
                <w:rFonts w:ascii="宋体" w:hAnsi="宋体" w:eastAsia="宋体"/>
                <w:sz w:val="24"/>
                <w:szCs w:val="24"/>
              </w:rPr>
            </w:pPr>
            <w:r>
              <w:rPr>
                <w:rFonts w:hint="eastAsia" w:ascii="宋体" w:hAnsi="宋体" w:eastAsia="宋体"/>
                <w:sz w:val="24"/>
                <w:szCs w:val="24"/>
              </w:rPr>
              <w:t>8</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61A56E">
            <w:pPr>
              <w:spacing w:line="360" w:lineRule="auto"/>
              <w:rPr>
                <w:rFonts w:ascii="宋体" w:hAnsi="宋体" w:eastAsia="宋体"/>
                <w:sz w:val="24"/>
                <w:szCs w:val="24"/>
              </w:rPr>
            </w:pPr>
            <w:r>
              <w:rPr>
                <w:rFonts w:hint="eastAsia" w:ascii="宋体" w:hAnsi="宋体" w:eastAsia="宋体"/>
                <w:sz w:val="24"/>
                <w:szCs w:val="24"/>
              </w:rPr>
              <w:t>起舞弄清影</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14:paraId="11D300BE">
            <w:pPr>
              <w:spacing w:line="360" w:lineRule="auto"/>
              <w:rPr>
                <w:rFonts w:ascii="宋体" w:hAnsi="宋体" w:eastAsia="宋体"/>
                <w:sz w:val="24"/>
                <w:szCs w:val="24"/>
              </w:rPr>
            </w:pPr>
            <w:r>
              <w:rPr>
                <w:rFonts w:hint="eastAsia" w:ascii="宋体" w:hAnsi="宋体" w:eastAsia="宋体"/>
                <w:sz w:val="24"/>
                <w:szCs w:val="24"/>
              </w:rPr>
              <w:t>我是皮影小艺人</w:t>
            </w:r>
          </w:p>
        </w:tc>
        <w:tc>
          <w:tcPr>
            <w:tcW w:w="1793" w:type="dxa"/>
            <w:tcBorders>
              <w:top w:val="single" w:color="auto" w:sz="4" w:space="0"/>
              <w:left w:val="single" w:color="auto" w:sz="4" w:space="0"/>
              <w:bottom w:val="single" w:color="auto" w:sz="4" w:space="0"/>
              <w:right w:val="single" w:color="auto" w:sz="4" w:space="0"/>
            </w:tcBorders>
            <w:vAlign w:val="center"/>
          </w:tcPr>
          <w:p w14:paraId="68A27C36">
            <w:pPr>
              <w:spacing w:line="360" w:lineRule="auto"/>
              <w:jc w:val="center"/>
              <w:rPr>
                <w:rFonts w:ascii="宋体" w:hAnsi="宋体" w:eastAsia="宋体"/>
                <w:sz w:val="24"/>
                <w:szCs w:val="24"/>
              </w:rPr>
            </w:pPr>
            <w:r>
              <w:rPr>
                <w:rFonts w:ascii="宋体" w:hAnsi="宋体" w:eastAsia="宋体"/>
                <w:sz w:val="24"/>
                <w:szCs w:val="24"/>
              </w:rPr>
              <w:t>80*60*120</w:t>
            </w:r>
          </w:p>
        </w:tc>
        <w:tc>
          <w:tcPr>
            <w:tcW w:w="1084" w:type="dxa"/>
            <w:tcBorders>
              <w:top w:val="single" w:color="auto" w:sz="4" w:space="0"/>
              <w:left w:val="single" w:color="auto" w:sz="4" w:space="0"/>
              <w:bottom w:val="single" w:color="auto" w:sz="4" w:space="0"/>
              <w:right w:val="single" w:color="auto" w:sz="4" w:space="0"/>
            </w:tcBorders>
            <w:vAlign w:val="center"/>
          </w:tcPr>
          <w:p w14:paraId="3DF1905A">
            <w:pPr>
              <w:spacing w:line="360" w:lineRule="auto"/>
              <w:jc w:val="center"/>
              <w:rPr>
                <w:rFonts w:ascii="宋体" w:hAnsi="宋体" w:eastAsia="宋体"/>
                <w:sz w:val="24"/>
                <w:szCs w:val="24"/>
              </w:rPr>
            </w:pPr>
            <w:r>
              <w:rPr>
                <w:rFonts w:hint="eastAsia" w:ascii="宋体" w:hAnsi="宋体" w:eastAsia="宋体"/>
                <w:sz w:val="24"/>
                <w:szCs w:val="24"/>
              </w:rPr>
              <w:t>未知</w:t>
            </w:r>
          </w:p>
        </w:tc>
        <w:tc>
          <w:tcPr>
            <w:tcW w:w="1557" w:type="dxa"/>
            <w:tcBorders>
              <w:top w:val="single" w:color="auto" w:sz="4" w:space="0"/>
              <w:left w:val="single" w:color="auto" w:sz="4" w:space="0"/>
              <w:bottom w:val="single" w:color="auto" w:sz="4" w:space="0"/>
              <w:right w:val="single" w:color="auto" w:sz="4" w:space="0"/>
            </w:tcBorders>
            <w:vAlign w:val="center"/>
          </w:tcPr>
          <w:p w14:paraId="51B100CF">
            <w:pPr>
              <w:spacing w:line="360" w:lineRule="auto"/>
              <w:jc w:val="center"/>
              <w:rPr>
                <w:rFonts w:ascii="宋体" w:hAnsi="宋体" w:eastAsia="宋体"/>
                <w:sz w:val="24"/>
                <w:szCs w:val="24"/>
              </w:rPr>
            </w:pPr>
            <w:r>
              <w:rPr>
                <w:rFonts w:hint="eastAsia" w:ascii="宋体" w:hAnsi="宋体" w:eastAsia="宋体"/>
                <w:sz w:val="24"/>
                <w:szCs w:val="24"/>
              </w:rPr>
              <w:t>不可拆卸</w:t>
            </w:r>
          </w:p>
        </w:tc>
      </w:tr>
      <w:tr w14:paraId="6F6EB9BE">
        <w:tblPrEx>
          <w:tblCellMar>
            <w:top w:w="0" w:type="dxa"/>
            <w:left w:w="28" w:type="dxa"/>
            <w:bottom w:w="0" w:type="dxa"/>
            <w:right w:w="28" w:type="dxa"/>
          </w:tblCellMar>
        </w:tblPrEx>
        <w:trPr>
          <w:trHeight w:val="28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9F5D2">
            <w:pPr>
              <w:spacing w:line="360" w:lineRule="auto"/>
              <w:jc w:val="center"/>
              <w:rPr>
                <w:rFonts w:ascii="宋体" w:hAnsi="宋体" w:eastAsia="宋体"/>
                <w:sz w:val="24"/>
                <w:szCs w:val="24"/>
              </w:rPr>
            </w:pPr>
            <w:r>
              <w:rPr>
                <w:rFonts w:hint="eastAsia" w:ascii="宋体" w:hAnsi="宋体" w:eastAsia="宋体"/>
                <w:sz w:val="24"/>
                <w:szCs w:val="24"/>
              </w:rPr>
              <w:t>9</w:t>
            </w:r>
          </w:p>
        </w:tc>
        <w:tc>
          <w:tcPr>
            <w:tcW w:w="127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11EF5825">
            <w:pPr>
              <w:spacing w:line="360" w:lineRule="auto"/>
              <w:rPr>
                <w:rFonts w:ascii="宋体" w:hAnsi="宋体" w:eastAsia="宋体"/>
                <w:sz w:val="24"/>
                <w:szCs w:val="24"/>
              </w:rPr>
            </w:pPr>
          </w:p>
        </w:tc>
        <w:tc>
          <w:tcPr>
            <w:tcW w:w="2512" w:type="dxa"/>
            <w:tcBorders>
              <w:top w:val="single" w:color="auto" w:sz="4" w:space="0"/>
              <w:left w:val="nil"/>
              <w:bottom w:val="single" w:color="auto" w:sz="4" w:space="0"/>
              <w:right w:val="single" w:color="auto" w:sz="4" w:space="0"/>
            </w:tcBorders>
            <w:shd w:val="clear" w:color="auto" w:fill="auto"/>
            <w:vAlign w:val="center"/>
          </w:tcPr>
          <w:p w14:paraId="379D5A9B">
            <w:pPr>
              <w:spacing w:line="360" w:lineRule="auto"/>
              <w:rPr>
                <w:rFonts w:ascii="宋体" w:hAnsi="宋体" w:eastAsia="宋体"/>
                <w:sz w:val="24"/>
                <w:szCs w:val="24"/>
              </w:rPr>
            </w:pPr>
            <w:r>
              <w:rPr>
                <w:rFonts w:hint="eastAsia" w:ascii="宋体" w:hAnsi="宋体" w:eastAsia="宋体"/>
                <w:sz w:val="24"/>
                <w:szCs w:val="24"/>
              </w:rPr>
              <w:t>机械皮影</w:t>
            </w:r>
          </w:p>
        </w:tc>
        <w:tc>
          <w:tcPr>
            <w:tcW w:w="1793" w:type="dxa"/>
            <w:tcBorders>
              <w:top w:val="single" w:color="auto" w:sz="4" w:space="0"/>
              <w:left w:val="nil"/>
              <w:bottom w:val="single" w:color="auto" w:sz="4" w:space="0"/>
              <w:right w:val="single" w:color="auto" w:sz="4" w:space="0"/>
            </w:tcBorders>
            <w:vAlign w:val="center"/>
          </w:tcPr>
          <w:p w14:paraId="4A5626A3">
            <w:pPr>
              <w:spacing w:line="360" w:lineRule="auto"/>
              <w:jc w:val="center"/>
              <w:rPr>
                <w:rFonts w:ascii="宋体" w:hAnsi="宋体" w:eastAsia="宋体"/>
                <w:sz w:val="24"/>
                <w:szCs w:val="24"/>
              </w:rPr>
            </w:pPr>
            <w:r>
              <w:rPr>
                <w:rFonts w:ascii="宋体" w:hAnsi="宋体" w:eastAsia="宋体"/>
                <w:sz w:val="24"/>
                <w:szCs w:val="24"/>
              </w:rPr>
              <w:t>180*40*200</w:t>
            </w:r>
          </w:p>
        </w:tc>
        <w:tc>
          <w:tcPr>
            <w:tcW w:w="1084" w:type="dxa"/>
            <w:tcBorders>
              <w:top w:val="single" w:color="auto" w:sz="4" w:space="0"/>
              <w:left w:val="nil"/>
              <w:bottom w:val="single" w:color="auto" w:sz="4" w:space="0"/>
              <w:right w:val="single" w:color="auto" w:sz="4" w:space="0"/>
            </w:tcBorders>
            <w:vAlign w:val="center"/>
          </w:tcPr>
          <w:p w14:paraId="73E63694">
            <w:pPr>
              <w:spacing w:line="360" w:lineRule="auto"/>
              <w:jc w:val="center"/>
              <w:rPr>
                <w:rFonts w:ascii="宋体" w:hAnsi="宋体" w:eastAsia="宋体"/>
                <w:sz w:val="24"/>
                <w:szCs w:val="24"/>
              </w:rPr>
            </w:pPr>
            <w:r>
              <w:rPr>
                <w:rFonts w:hint="eastAsia" w:ascii="宋体" w:hAnsi="宋体" w:eastAsia="宋体"/>
                <w:sz w:val="24"/>
                <w:szCs w:val="24"/>
              </w:rPr>
              <w:t>未知</w:t>
            </w:r>
          </w:p>
        </w:tc>
        <w:tc>
          <w:tcPr>
            <w:tcW w:w="1557" w:type="dxa"/>
            <w:tcBorders>
              <w:top w:val="single" w:color="auto" w:sz="4" w:space="0"/>
              <w:left w:val="nil"/>
              <w:bottom w:val="single" w:color="auto" w:sz="4" w:space="0"/>
              <w:right w:val="single" w:color="auto" w:sz="4" w:space="0"/>
            </w:tcBorders>
            <w:vAlign w:val="center"/>
          </w:tcPr>
          <w:p w14:paraId="57739D79">
            <w:pPr>
              <w:spacing w:line="360" w:lineRule="auto"/>
              <w:jc w:val="center"/>
              <w:rPr>
                <w:rFonts w:ascii="宋体" w:hAnsi="宋体" w:eastAsia="宋体"/>
                <w:sz w:val="24"/>
                <w:szCs w:val="24"/>
              </w:rPr>
            </w:pPr>
            <w:r>
              <w:rPr>
                <w:rFonts w:hint="eastAsia" w:ascii="宋体" w:hAnsi="宋体" w:eastAsia="宋体"/>
                <w:sz w:val="24"/>
                <w:szCs w:val="24"/>
              </w:rPr>
              <w:t>不可拆卸</w:t>
            </w:r>
          </w:p>
        </w:tc>
      </w:tr>
      <w:tr w14:paraId="15ACE8AD">
        <w:tblPrEx>
          <w:tblCellMar>
            <w:top w:w="0" w:type="dxa"/>
            <w:left w:w="28" w:type="dxa"/>
            <w:bottom w:w="0" w:type="dxa"/>
            <w:right w:w="28" w:type="dxa"/>
          </w:tblCellMar>
        </w:tblPrEx>
        <w:trPr>
          <w:trHeight w:val="285" w:hRule="atLeast"/>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14:paraId="236DAACE">
            <w:pPr>
              <w:spacing w:line="360" w:lineRule="auto"/>
              <w:jc w:val="center"/>
              <w:rPr>
                <w:rFonts w:ascii="宋体" w:hAnsi="宋体" w:eastAsia="宋体"/>
                <w:sz w:val="24"/>
                <w:szCs w:val="24"/>
              </w:rPr>
            </w:pPr>
            <w:r>
              <w:rPr>
                <w:rFonts w:hint="eastAsia" w:ascii="宋体" w:hAnsi="宋体" w:eastAsia="宋体"/>
                <w:sz w:val="24"/>
                <w:szCs w:val="24"/>
              </w:rPr>
              <w:t>10</w:t>
            </w: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226CA5A8">
            <w:pPr>
              <w:spacing w:line="360" w:lineRule="auto"/>
              <w:rPr>
                <w:rFonts w:ascii="宋体" w:hAnsi="宋体" w:eastAsia="宋体"/>
                <w:sz w:val="24"/>
                <w:szCs w:val="24"/>
              </w:rPr>
            </w:pPr>
          </w:p>
        </w:tc>
        <w:tc>
          <w:tcPr>
            <w:tcW w:w="2512" w:type="dxa"/>
            <w:tcBorders>
              <w:top w:val="nil"/>
              <w:left w:val="nil"/>
              <w:bottom w:val="single" w:color="auto" w:sz="4" w:space="0"/>
              <w:right w:val="single" w:color="auto" w:sz="4" w:space="0"/>
            </w:tcBorders>
            <w:shd w:val="clear" w:color="auto" w:fill="auto"/>
            <w:vAlign w:val="center"/>
          </w:tcPr>
          <w:p w14:paraId="3D963819">
            <w:pPr>
              <w:spacing w:line="360" w:lineRule="auto"/>
              <w:rPr>
                <w:rFonts w:ascii="宋体" w:hAnsi="宋体" w:eastAsia="宋体"/>
                <w:sz w:val="24"/>
                <w:szCs w:val="24"/>
              </w:rPr>
            </w:pPr>
            <w:r>
              <w:rPr>
                <w:rFonts w:hint="eastAsia" w:ascii="宋体" w:hAnsi="宋体" w:eastAsia="宋体"/>
                <w:sz w:val="24"/>
                <w:szCs w:val="24"/>
              </w:rPr>
              <w:t>皮影体感互动</w:t>
            </w:r>
          </w:p>
        </w:tc>
        <w:tc>
          <w:tcPr>
            <w:tcW w:w="1793" w:type="dxa"/>
            <w:tcBorders>
              <w:top w:val="nil"/>
              <w:left w:val="nil"/>
              <w:bottom w:val="single" w:color="auto" w:sz="4" w:space="0"/>
              <w:right w:val="single" w:color="auto" w:sz="4" w:space="0"/>
            </w:tcBorders>
            <w:vAlign w:val="center"/>
          </w:tcPr>
          <w:p w14:paraId="47DD0716">
            <w:pPr>
              <w:spacing w:line="360" w:lineRule="auto"/>
              <w:jc w:val="center"/>
              <w:rPr>
                <w:rFonts w:ascii="宋体" w:hAnsi="宋体" w:eastAsia="宋体"/>
                <w:sz w:val="24"/>
                <w:szCs w:val="24"/>
              </w:rPr>
            </w:pPr>
            <w:r>
              <w:rPr>
                <w:rFonts w:ascii="宋体" w:hAnsi="宋体" w:eastAsia="宋体"/>
                <w:sz w:val="24"/>
                <w:szCs w:val="24"/>
              </w:rPr>
              <w:t>380*60*300</w:t>
            </w:r>
          </w:p>
        </w:tc>
        <w:tc>
          <w:tcPr>
            <w:tcW w:w="1084" w:type="dxa"/>
            <w:tcBorders>
              <w:top w:val="nil"/>
              <w:left w:val="nil"/>
              <w:bottom w:val="single" w:color="auto" w:sz="4" w:space="0"/>
              <w:right w:val="single" w:color="auto" w:sz="4" w:space="0"/>
            </w:tcBorders>
            <w:vAlign w:val="center"/>
          </w:tcPr>
          <w:p w14:paraId="49CCF0D3">
            <w:pPr>
              <w:spacing w:line="360" w:lineRule="auto"/>
              <w:jc w:val="center"/>
              <w:rPr>
                <w:rFonts w:ascii="宋体" w:hAnsi="宋体" w:eastAsia="宋体"/>
                <w:sz w:val="24"/>
                <w:szCs w:val="24"/>
              </w:rPr>
            </w:pPr>
            <w:r>
              <w:rPr>
                <w:rFonts w:hint="eastAsia" w:ascii="宋体" w:hAnsi="宋体" w:eastAsia="宋体"/>
                <w:sz w:val="24"/>
                <w:szCs w:val="24"/>
              </w:rPr>
              <w:t>未知</w:t>
            </w:r>
          </w:p>
        </w:tc>
        <w:tc>
          <w:tcPr>
            <w:tcW w:w="1557" w:type="dxa"/>
            <w:tcBorders>
              <w:top w:val="nil"/>
              <w:left w:val="nil"/>
              <w:bottom w:val="single" w:color="auto" w:sz="4" w:space="0"/>
              <w:right w:val="single" w:color="auto" w:sz="4" w:space="0"/>
            </w:tcBorders>
            <w:vAlign w:val="center"/>
          </w:tcPr>
          <w:p w14:paraId="79BB8BFB">
            <w:pPr>
              <w:spacing w:line="360" w:lineRule="auto"/>
              <w:jc w:val="center"/>
              <w:rPr>
                <w:rFonts w:ascii="宋体" w:hAnsi="宋体" w:eastAsia="宋体"/>
                <w:sz w:val="24"/>
                <w:szCs w:val="24"/>
              </w:rPr>
            </w:pPr>
            <w:r>
              <w:rPr>
                <w:rFonts w:hint="eastAsia" w:ascii="宋体" w:hAnsi="宋体" w:eastAsia="宋体"/>
                <w:sz w:val="24"/>
                <w:szCs w:val="24"/>
              </w:rPr>
              <w:t>可拆卸</w:t>
            </w:r>
          </w:p>
        </w:tc>
      </w:tr>
      <w:tr w14:paraId="29AEB781">
        <w:tblPrEx>
          <w:tblCellMar>
            <w:top w:w="0" w:type="dxa"/>
            <w:left w:w="28" w:type="dxa"/>
            <w:bottom w:w="0" w:type="dxa"/>
            <w:right w:w="28" w:type="dxa"/>
          </w:tblCellMar>
        </w:tblPrEx>
        <w:trPr>
          <w:trHeight w:val="33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ABBF3">
            <w:pPr>
              <w:spacing w:line="360" w:lineRule="auto"/>
              <w:jc w:val="center"/>
              <w:rPr>
                <w:rFonts w:ascii="宋体" w:hAnsi="宋体" w:eastAsia="宋体"/>
                <w:sz w:val="24"/>
                <w:szCs w:val="24"/>
              </w:rPr>
            </w:pPr>
            <w:r>
              <w:rPr>
                <w:rFonts w:hint="eastAsia" w:ascii="宋体" w:hAnsi="宋体" w:eastAsia="宋体"/>
                <w:sz w:val="24"/>
                <w:szCs w:val="24"/>
              </w:rPr>
              <w:t>11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14BBEA2">
            <w:pPr>
              <w:spacing w:line="360" w:lineRule="auto"/>
              <w:rPr>
                <w:rFonts w:ascii="宋体" w:hAnsi="宋体" w:eastAsia="宋体"/>
                <w:sz w:val="24"/>
                <w:szCs w:val="24"/>
              </w:rPr>
            </w:pPr>
            <w:r>
              <w:rPr>
                <w:rFonts w:hint="eastAsia" w:ascii="宋体" w:hAnsi="宋体" w:eastAsia="宋体"/>
                <w:sz w:val="24"/>
                <w:szCs w:val="24"/>
              </w:rPr>
              <w:t>传承我先行</w:t>
            </w:r>
          </w:p>
        </w:tc>
        <w:tc>
          <w:tcPr>
            <w:tcW w:w="2512" w:type="dxa"/>
            <w:tcBorders>
              <w:top w:val="single" w:color="auto" w:sz="4" w:space="0"/>
              <w:left w:val="nil"/>
              <w:bottom w:val="single" w:color="auto" w:sz="4" w:space="0"/>
              <w:right w:val="single" w:color="auto" w:sz="4" w:space="0"/>
            </w:tcBorders>
            <w:shd w:val="clear" w:color="auto" w:fill="auto"/>
            <w:vAlign w:val="center"/>
          </w:tcPr>
          <w:p w14:paraId="7D76D46B">
            <w:pPr>
              <w:spacing w:line="360" w:lineRule="auto"/>
              <w:rPr>
                <w:rFonts w:ascii="宋体" w:hAnsi="宋体" w:eastAsia="宋体"/>
                <w:sz w:val="24"/>
                <w:szCs w:val="24"/>
              </w:rPr>
            </w:pPr>
            <w:r>
              <w:rPr>
                <w:rFonts w:hint="eastAsia" w:ascii="宋体" w:hAnsi="宋体" w:eastAsia="宋体"/>
                <w:sz w:val="24"/>
                <w:szCs w:val="24"/>
              </w:rPr>
              <w:t>皮影传承我想说</w:t>
            </w:r>
          </w:p>
        </w:tc>
        <w:tc>
          <w:tcPr>
            <w:tcW w:w="1793" w:type="dxa"/>
            <w:tcBorders>
              <w:top w:val="single" w:color="auto" w:sz="4" w:space="0"/>
              <w:left w:val="nil"/>
              <w:bottom w:val="single" w:color="auto" w:sz="4" w:space="0"/>
              <w:right w:val="single" w:color="auto" w:sz="4" w:space="0"/>
            </w:tcBorders>
            <w:vAlign w:val="center"/>
          </w:tcPr>
          <w:p w14:paraId="22DB3EFC">
            <w:pPr>
              <w:spacing w:line="360" w:lineRule="auto"/>
              <w:jc w:val="center"/>
              <w:rPr>
                <w:rFonts w:ascii="宋体" w:hAnsi="宋体" w:eastAsia="宋体"/>
                <w:sz w:val="24"/>
                <w:szCs w:val="24"/>
              </w:rPr>
            </w:pPr>
            <w:r>
              <w:rPr>
                <w:rFonts w:ascii="宋体" w:hAnsi="宋体" w:eastAsia="宋体"/>
                <w:sz w:val="24"/>
                <w:szCs w:val="24"/>
              </w:rPr>
              <w:t>500*60*300</w:t>
            </w:r>
          </w:p>
        </w:tc>
        <w:tc>
          <w:tcPr>
            <w:tcW w:w="1084" w:type="dxa"/>
            <w:tcBorders>
              <w:top w:val="single" w:color="auto" w:sz="4" w:space="0"/>
              <w:left w:val="nil"/>
              <w:bottom w:val="single" w:color="auto" w:sz="4" w:space="0"/>
              <w:right w:val="single" w:color="auto" w:sz="4" w:space="0"/>
            </w:tcBorders>
            <w:vAlign w:val="center"/>
          </w:tcPr>
          <w:p w14:paraId="2CF63E78">
            <w:pPr>
              <w:spacing w:line="360" w:lineRule="auto"/>
              <w:jc w:val="center"/>
              <w:rPr>
                <w:rFonts w:ascii="宋体" w:hAnsi="宋体" w:eastAsia="宋体"/>
                <w:sz w:val="24"/>
                <w:szCs w:val="24"/>
              </w:rPr>
            </w:pPr>
            <w:r>
              <w:rPr>
                <w:rFonts w:hint="eastAsia" w:ascii="宋体" w:hAnsi="宋体" w:eastAsia="宋体"/>
                <w:sz w:val="24"/>
                <w:szCs w:val="24"/>
              </w:rPr>
              <w:t>未知</w:t>
            </w:r>
          </w:p>
        </w:tc>
        <w:tc>
          <w:tcPr>
            <w:tcW w:w="1557" w:type="dxa"/>
            <w:tcBorders>
              <w:top w:val="single" w:color="auto" w:sz="4" w:space="0"/>
              <w:left w:val="nil"/>
              <w:bottom w:val="single" w:color="auto" w:sz="4" w:space="0"/>
              <w:right w:val="single" w:color="auto" w:sz="4" w:space="0"/>
            </w:tcBorders>
            <w:vAlign w:val="center"/>
          </w:tcPr>
          <w:p w14:paraId="2DCB59E0">
            <w:pPr>
              <w:spacing w:line="360" w:lineRule="auto"/>
              <w:jc w:val="center"/>
              <w:rPr>
                <w:rFonts w:ascii="宋体" w:hAnsi="宋体" w:eastAsia="宋体"/>
                <w:sz w:val="24"/>
                <w:szCs w:val="24"/>
              </w:rPr>
            </w:pPr>
            <w:r>
              <w:rPr>
                <w:rFonts w:hint="eastAsia" w:ascii="宋体" w:hAnsi="宋体" w:eastAsia="宋体"/>
                <w:sz w:val="24"/>
                <w:szCs w:val="24"/>
              </w:rPr>
              <w:t>可拆卸</w:t>
            </w:r>
          </w:p>
        </w:tc>
      </w:tr>
      <w:tr w14:paraId="3D94561F">
        <w:tblPrEx>
          <w:tblCellMar>
            <w:top w:w="0" w:type="dxa"/>
            <w:left w:w="28" w:type="dxa"/>
            <w:bottom w:w="0" w:type="dxa"/>
            <w:right w:w="28" w:type="dxa"/>
          </w:tblCellMar>
        </w:tblPrEx>
        <w:trPr>
          <w:trHeight w:val="330" w:hRule="atLeast"/>
          <w:jc w:val="center"/>
        </w:trPr>
        <w:tc>
          <w:tcPr>
            <w:tcW w:w="878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7893B26">
            <w:pPr>
              <w:spacing w:line="360" w:lineRule="auto"/>
              <w:rPr>
                <w:rFonts w:ascii="宋体" w:hAnsi="宋体" w:eastAsia="宋体"/>
                <w:sz w:val="24"/>
                <w:szCs w:val="24"/>
              </w:rPr>
            </w:pPr>
            <w:r>
              <w:rPr>
                <w:rFonts w:hint="eastAsia" w:ascii="宋体" w:hAnsi="宋体" w:eastAsia="宋体"/>
                <w:sz w:val="24"/>
                <w:szCs w:val="24"/>
              </w:rPr>
              <w:t>本展览还包含铝合金型材桁架展板（含射灯），高度3米或3</w:t>
            </w:r>
            <w:r>
              <w:rPr>
                <w:rFonts w:ascii="宋体" w:hAnsi="宋体" w:eastAsia="宋体"/>
                <w:sz w:val="24"/>
                <w:szCs w:val="24"/>
              </w:rPr>
              <w:t>.2</w:t>
            </w:r>
            <w:r>
              <w:rPr>
                <w:rFonts w:hint="eastAsia" w:ascii="宋体" w:hAnsi="宋体" w:eastAsia="宋体"/>
                <w:sz w:val="24"/>
                <w:szCs w:val="24"/>
              </w:rPr>
              <w:t>米，共2</w:t>
            </w:r>
            <w:r>
              <w:rPr>
                <w:rFonts w:ascii="宋体" w:hAnsi="宋体" w:eastAsia="宋体"/>
                <w:sz w:val="24"/>
                <w:szCs w:val="24"/>
              </w:rPr>
              <w:t>1</w:t>
            </w:r>
            <w:r>
              <w:rPr>
                <w:rFonts w:hint="eastAsia" w:ascii="宋体" w:hAnsi="宋体" w:eastAsia="宋体"/>
                <w:sz w:val="24"/>
                <w:szCs w:val="24"/>
              </w:rPr>
              <w:t>块版面，总长度约6</w:t>
            </w:r>
            <w:r>
              <w:rPr>
                <w:rFonts w:ascii="宋体" w:hAnsi="宋体" w:eastAsia="宋体"/>
                <w:sz w:val="24"/>
                <w:szCs w:val="24"/>
              </w:rPr>
              <w:t>1.5</w:t>
            </w:r>
            <w:r>
              <w:rPr>
                <w:rFonts w:hint="eastAsia" w:ascii="宋体" w:hAnsi="宋体" w:eastAsia="宋体"/>
                <w:sz w:val="24"/>
                <w:szCs w:val="24"/>
              </w:rPr>
              <w:t>米（部分展面有镶嵌展品），以上仅为参考，具体以实物为准。本展览现安装于洛阳市科学技术馆，各单位视情况可自行前往实地考察，本单位不统一组织进行考察。</w:t>
            </w:r>
          </w:p>
        </w:tc>
      </w:tr>
    </w:tbl>
    <w:p w14:paraId="1BAD536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运输要求：根据展品大小选择合适的车辆（一次性把展品拉完），到洛阳市科技馆装车，装车完毕后安全运输至滁州市科技馆进行卸车，所有展品卸至科技馆一楼临时大厅。</w:t>
      </w:r>
    </w:p>
    <w:p w14:paraId="30B2FD0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布展场地：滁州市科技馆一楼临时展厅，布展面积约220平米。</w:t>
      </w:r>
    </w:p>
    <w:p w14:paraId="7A83A84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布展要求：充分了解展品内容规格，按照展品分类，设计适合新场地的效果方案，根据图纸在相关人员指导下有序布展，部分展品需通电使用，需按照要求铺设电缆及安装临时插座，展品安装调试后能正常运行。</w:t>
      </w:r>
    </w:p>
    <w:p w14:paraId="25A9182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维保要求：需对巡展期内（约4个月）的展陈、软硬件内容等进行维修保养。</w:t>
      </w:r>
    </w:p>
    <w:p w14:paraId="2750815C">
      <w:pPr>
        <w:spacing w:line="360" w:lineRule="auto"/>
        <w:ind w:firstLine="435"/>
        <w:rPr>
          <w:rFonts w:ascii="宋体" w:hAnsi="宋体" w:eastAsia="宋体" w:cs="宋体"/>
          <w:sz w:val="24"/>
          <w:szCs w:val="24"/>
        </w:rPr>
      </w:pPr>
      <w:r>
        <w:rPr>
          <w:rFonts w:hint="eastAsia" w:ascii="宋体" w:hAnsi="宋体" w:eastAsia="宋体" w:cs="宋体"/>
          <w:sz w:val="24"/>
          <w:szCs w:val="24"/>
        </w:rPr>
        <w:t>撤展要求：撤展工作，在展览结束时，配合采购人完成撤展工作，包括但不限于灯具、微环境调控设备的撤离等与撤展有关的工作。</w:t>
      </w:r>
    </w:p>
    <w:p w14:paraId="59812DD0">
      <w:pPr>
        <w:spacing w:line="360" w:lineRule="auto"/>
        <w:ind w:firstLine="435"/>
        <w:rPr>
          <w:rFonts w:ascii="宋体" w:hAnsi="宋体" w:eastAsia="宋体" w:cs="宋体"/>
          <w:sz w:val="24"/>
          <w:szCs w:val="24"/>
        </w:rPr>
      </w:pPr>
      <w:r>
        <w:rPr>
          <w:rFonts w:hint="eastAsia" w:ascii="宋体" w:hAnsi="宋体" w:eastAsia="宋体" w:cs="宋体"/>
          <w:sz w:val="24"/>
          <w:szCs w:val="24"/>
        </w:rPr>
        <w:t>（二）遮光</w:t>
      </w:r>
    </w:p>
    <w:p w14:paraId="4171D707">
      <w:pPr>
        <w:spacing w:line="360" w:lineRule="auto"/>
        <w:ind w:firstLine="435"/>
        <w:rPr>
          <w:rFonts w:ascii="宋体" w:hAnsi="宋体" w:eastAsia="宋体" w:cs="宋体"/>
          <w:sz w:val="24"/>
          <w:szCs w:val="24"/>
        </w:rPr>
      </w:pPr>
      <w:r>
        <w:rPr>
          <w:rFonts w:hint="eastAsia" w:ascii="宋体" w:hAnsi="宋体" w:eastAsia="宋体" w:cs="宋体"/>
          <w:sz w:val="24"/>
          <w:szCs w:val="24"/>
        </w:rPr>
        <w:t>遮光要求：布展需要根据实际情况对滁州市科技馆展厅玻璃墙使用遮光布进行有效遮光，确保《皮影也科技》展览的参观体验，需遮光玻璃墙面积约220平米左右。</w:t>
      </w:r>
    </w:p>
    <w:p w14:paraId="1A805E09">
      <w:pPr>
        <w:spacing w:line="360" w:lineRule="auto"/>
        <w:ind w:firstLine="437"/>
        <w:outlineLvl w:val="1"/>
        <w:rPr>
          <w:rFonts w:ascii="宋体" w:hAnsi="宋体" w:eastAsia="宋体"/>
          <w:b/>
          <w:sz w:val="24"/>
          <w:szCs w:val="18"/>
        </w:rPr>
      </w:pPr>
      <w:bookmarkStart w:id="61" w:name="_Toc12910"/>
      <w:bookmarkStart w:id="62" w:name="_Toc18052"/>
      <w:r>
        <w:rPr>
          <w:rFonts w:hint="eastAsia" w:ascii="宋体" w:hAnsi="宋体" w:eastAsia="宋体"/>
          <w:b/>
          <w:sz w:val="24"/>
          <w:szCs w:val="18"/>
        </w:rPr>
        <w:t>四、报价要求</w:t>
      </w:r>
      <w:bookmarkEnd w:id="61"/>
      <w:bookmarkEnd w:id="62"/>
    </w:p>
    <w:p w14:paraId="6FE55987">
      <w:pPr>
        <w:spacing w:line="360" w:lineRule="auto"/>
        <w:ind w:firstLine="435"/>
        <w:rPr>
          <w:rFonts w:ascii="宋体" w:hAnsi="宋体" w:eastAsia="宋体" w:cs="宋体"/>
          <w:sz w:val="24"/>
          <w:szCs w:val="24"/>
        </w:rPr>
      </w:pPr>
      <w:r>
        <w:rPr>
          <w:rFonts w:hint="eastAsia" w:ascii="宋体" w:hAnsi="宋体" w:eastAsia="宋体" w:cs="宋体"/>
          <w:sz w:val="24"/>
          <w:szCs w:val="24"/>
        </w:rPr>
        <w:t>1 响应报价（含最后报价，下同）全部采用人民币表示。响应报价采用综合单价法，综合单价为全费用综合单价，综合单价包括但不限于为完成项目全部内容所发生的：各项服务（货物）所有辅材、安装、利润、税金、政策性文件规定及合同包含的所有风险、责任、义务等，即为完成招标文件要求的服务（货物）内容所包含的一切应有费用，中标价格今后将不作任何调整，采购人后期不再追加费用，投标投标人自行考虑投标风险。</w:t>
      </w:r>
    </w:p>
    <w:p w14:paraId="4022C751">
      <w:pPr>
        <w:spacing w:line="360" w:lineRule="auto"/>
        <w:ind w:firstLine="435"/>
        <w:rPr>
          <w:rFonts w:ascii="宋体" w:hAnsi="宋体" w:eastAsia="宋体" w:cs="宋体"/>
          <w:sz w:val="24"/>
          <w:szCs w:val="24"/>
        </w:rPr>
      </w:pPr>
      <w:r>
        <w:rPr>
          <w:rFonts w:hint="eastAsia" w:ascii="宋体" w:hAnsi="宋体" w:eastAsia="宋体" w:cs="宋体"/>
          <w:sz w:val="24"/>
          <w:szCs w:val="24"/>
        </w:rPr>
        <w:t xml:space="preserve">2 响应报价一览表上应清楚地标明供应商拟提供货物或服务的总价。 </w:t>
      </w:r>
    </w:p>
    <w:p w14:paraId="4E4AF5D9">
      <w:pPr>
        <w:spacing w:line="360" w:lineRule="auto"/>
        <w:ind w:firstLine="435"/>
        <w:rPr>
          <w:rFonts w:ascii="宋体" w:hAnsi="宋体" w:eastAsia="宋体" w:cs="宋体"/>
          <w:sz w:val="24"/>
          <w:szCs w:val="24"/>
        </w:rPr>
      </w:pPr>
      <w:r>
        <w:rPr>
          <w:rFonts w:hint="eastAsia" w:ascii="宋体" w:hAnsi="宋体" w:eastAsia="宋体" w:cs="宋体"/>
          <w:sz w:val="24"/>
          <w:szCs w:val="24"/>
        </w:rPr>
        <w:t xml:space="preserve">3 供应商只允许有一个方案、一个报价。 </w:t>
      </w:r>
    </w:p>
    <w:p w14:paraId="1C4212C2">
      <w:pPr>
        <w:spacing w:line="360" w:lineRule="auto"/>
        <w:ind w:firstLine="435"/>
        <w:rPr>
          <w:rFonts w:ascii="宋体" w:hAnsi="宋体" w:eastAsia="宋体" w:cs="宋体"/>
          <w:sz w:val="24"/>
          <w:szCs w:val="24"/>
        </w:rPr>
      </w:pPr>
      <w:r>
        <w:rPr>
          <w:rFonts w:hint="eastAsia" w:ascii="宋体" w:hAnsi="宋体" w:eastAsia="宋体" w:cs="宋体"/>
          <w:sz w:val="24"/>
          <w:szCs w:val="24"/>
        </w:rPr>
        <w:t xml:space="preserve">4 供应商的响应报价应为完成本项目所需的所有费用，不得采用总价下浮的方式进行报价。报价包含但不限于完成采购内容及服务要求所需的全部费用、后期服务以及国家对中标单位征收的各种税费等所有一切费用，合同价今后将不作任何调整，采购人将不再支付任何费用。 </w:t>
      </w:r>
    </w:p>
    <w:p w14:paraId="267F8883">
      <w:pPr>
        <w:spacing w:line="360" w:lineRule="auto"/>
        <w:ind w:firstLine="435"/>
        <w:rPr>
          <w:rFonts w:ascii="宋体" w:hAnsi="宋体" w:eastAsia="宋体" w:cs="宋体"/>
          <w:sz w:val="24"/>
          <w:szCs w:val="24"/>
        </w:rPr>
      </w:pPr>
      <w:r>
        <w:rPr>
          <w:rFonts w:hint="eastAsia" w:ascii="宋体" w:hAnsi="宋体" w:eastAsia="宋体" w:cs="宋体"/>
          <w:sz w:val="24"/>
          <w:szCs w:val="24"/>
        </w:rPr>
        <w:t xml:space="preserve">5 响应报价的价格是完成项目全部工作内容（包括后期的相关服务）的价格。 </w:t>
      </w:r>
    </w:p>
    <w:p w14:paraId="54FCEB57">
      <w:pPr>
        <w:spacing w:line="360" w:lineRule="auto"/>
        <w:ind w:firstLine="435"/>
        <w:rPr>
          <w:rFonts w:ascii="宋体" w:hAnsi="宋体" w:eastAsia="宋体" w:cs="宋体"/>
          <w:sz w:val="24"/>
          <w:szCs w:val="24"/>
        </w:rPr>
      </w:pPr>
      <w:r>
        <w:rPr>
          <w:rFonts w:hint="eastAsia" w:ascii="宋体" w:hAnsi="宋体" w:eastAsia="宋体" w:cs="宋体"/>
          <w:sz w:val="24"/>
          <w:szCs w:val="24"/>
        </w:rPr>
        <w:t xml:space="preserve">6 因供应商对磋商文件阅读不深、理解不透、误解、疏漏、或因市场行情了解不清造成的后果和风险均由各供应商自负，采购人将认为这些费用供应商已计取，并包含在报价中。 </w:t>
      </w:r>
    </w:p>
    <w:p w14:paraId="23F730C1">
      <w:pPr>
        <w:spacing w:line="360" w:lineRule="auto"/>
        <w:ind w:firstLine="435"/>
        <w:rPr>
          <w:rFonts w:ascii="宋体" w:hAnsi="宋体" w:eastAsia="宋体" w:cs="宋体"/>
          <w:sz w:val="24"/>
          <w:szCs w:val="24"/>
        </w:rPr>
      </w:pPr>
      <w:r>
        <w:rPr>
          <w:rFonts w:hint="eastAsia" w:ascii="宋体" w:hAnsi="宋体" w:eastAsia="宋体" w:cs="宋体"/>
          <w:sz w:val="24"/>
          <w:szCs w:val="24"/>
        </w:rPr>
        <w:t xml:space="preserve">7 供应商的报价不得高于本次最高限价，否则将作为无效响应处理。最高限价详见供应商须知前附表。 </w:t>
      </w:r>
    </w:p>
    <w:p w14:paraId="5BF9C2E5">
      <w:pPr>
        <w:spacing w:line="360" w:lineRule="auto"/>
        <w:ind w:firstLine="435"/>
        <w:rPr>
          <w:rFonts w:ascii="宋体" w:hAnsi="宋体" w:eastAsia="宋体" w:cs="宋体"/>
          <w:sz w:val="24"/>
          <w:szCs w:val="24"/>
        </w:rPr>
      </w:pPr>
      <w:r>
        <w:rPr>
          <w:rFonts w:hint="eastAsia" w:ascii="宋体" w:hAnsi="宋体" w:eastAsia="宋体" w:cs="宋体"/>
          <w:sz w:val="24"/>
          <w:szCs w:val="24"/>
        </w:rPr>
        <w:t xml:space="preserve">8 如响应文件中未列明全面实现响应服务功能而必须配置的配套或辅助设施及相应技术措施的费用，这些费用将被视为已包含在报价中。 </w:t>
      </w:r>
    </w:p>
    <w:p w14:paraId="1F3020A5">
      <w:pPr>
        <w:spacing w:line="360" w:lineRule="auto"/>
        <w:ind w:firstLine="435"/>
        <w:rPr>
          <w:rFonts w:ascii="宋体" w:hAnsi="宋体" w:eastAsia="宋体" w:cs="宋体"/>
          <w:sz w:val="24"/>
          <w:szCs w:val="24"/>
        </w:rPr>
      </w:pPr>
      <w:r>
        <w:rPr>
          <w:rFonts w:hint="eastAsia" w:ascii="宋体" w:hAnsi="宋体" w:eastAsia="宋体" w:cs="宋体"/>
          <w:sz w:val="24"/>
          <w:szCs w:val="24"/>
        </w:rPr>
        <w:t xml:space="preserve">9 磋商报价中不得包含磋商文件要求以外的内容，否则，在评审时不予核减，但在授予合同时，采购人有权将这部分价格从其成交价格中扣除。 </w:t>
      </w:r>
    </w:p>
    <w:p w14:paraId="14B7DB77">
      <w:pPr>
        <w:spacing w:line="360" w:lineRule="auto"/>
        <w:ind w:firstLine="435"/>
        <w:rPr>
          <w:rFonts w:ascii="宋体" w:hAnsi="宋体" w:eastAsia="宋体" w:cs="宋体"/>
          <w:sz w:val="24"/>
          <w:szCs w:val="24"/>
        </w:rPr>
      </w:pPr>
      <w:r>
        <w:rPr>
          <w:rFonts w:hint="eastAsia" w:ascii="宋体" w:hAnsi="宋体" w:eastAsia="宋体" w:cs="宋体"/>
          <w:sz w:val="24"/>
          <w:szCs w:val="24"/>
        </w:rPr>
        <w:t>10 磋商报价中不得缺漏磋商文件所要求的内容，否则，评审时将有效响应中该项内容的最高价计入其评标总价，但在授予合同时，缺漏项目的报价视作已含在其他项目的报价中，这些项目将作为免费赠送而包含在合同内。</w:t>
      </w:r>
    </w:p>
    <w:p w14:paraId="3E27880E">
      <w:pPr>
        <w:spacing w:line="360" w:lineRule="auto"/>
        <w:ind w:firstLine="435"/>
        <w:rPr>
          <w:rFonts w:ascii="宋体" w:hAnsi="宋体" w:eastAsia="宋体" w:cs="宋体"/>
          <w:sz w:val="24"/>
          <w:szCs w:val="24"/>
        </w:rPr>
      </w:pPr>
      <w:r>
        <w:rPr>
          <w:rFonts w:hint="eastAsia" w:ascii="宋体" w:hAnsi="宋体" w:eastAsia="宋体" w:cs="宋体"/>
          <w:sz w:val="24"/>
          <w:szCs w:val="24"/>
        </w:rPr>
        <w:br w:type="page"/>
      </w:r>
    </w:p>
    <w:p w14:paraId="212DA745">
      <w:pPr>
        <w:spacing w:line="360" w:lineRule="auto"/>
        <w:jc w:val="center"/>
        <w:outlineLvl w:val="0"/>
        <w:rPr>
          <w:rFonts w:asciiTheme="minorEastAsia" w:hAnsiTheme="minorEastAsia" w:eastAsiaTheme="minorEastAsia"/>
          <w:b/>
          <w:sz w:val="28"/>
        </w:rPr>
      </w:pPr>
      <w:bookmarkStart w:id="63" w:name="_Toc8668"/>
      <w:r>
        <w:rPr>
          <w:rFonts w:hint="eastAsia" w:asciiTheme="minorEastAsia" w:hAnsiTheme="minorEastAsia" w:eastAsiaTheme="minorEastAsia"/>
          <w:b/>
          <w:sz w:val="28"/>
        </w:rPr>
        <w:t>第四章  评审方法和标准</w:t>
      </w:r>
      <w:bookmarkEnd w:id="63"/>
    </w:p>
    <w:p w14:paraId="09D3FA3A">
      <w:pPr>
        <w:spacing w:line="360" w:lineRule="auto"/>
        <w:ind w:firstLine="437"/>
        <w:outlineLvl w:val="1"/>
        <w:rPr>
          <w:rFonts w:asciiTheme="minorEastAsia" w:hAnsiTheme="minorEastAsia" w:eastAsiaTheme="minorEastAsia"/>
          <w:b/>
          <w:sz w:val="24"/>
        </w:rPr>
      </w:pPr>
      <w:bookmarkStart w:id="64" w:name="_Toc21211"/>
      <w:bookmarkStart w:id="65" w:name="_Toc12199"/>
      <w:r>
        <w:rPr>
          <w:rFonts w:hint="eastAsia" w:asciiTheme="minorEastAsia" w:hAnsiTheme="minorEastAsia" w:eastAsiaTheme="minorEastAsia"/>
          <w:b/>
          <w:sz w:val="24"/>
        </w:rPr>
        <w:t>一、总则</w:t>
      </w:r>
      <w:bookmarkEnd w:id="64"/>
      <w:bookmarkEnd w:id="65"/>
    </w:p>
    <w:p w14:paraId="73C6B8B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本项目将按照磋商文件第二章 供应商须知的相关要求</w:t>
      </w:r>
      <w:r>
        <w:rPr>
          <w:rFonts w:asciiTheme="minorEastAsia" w:hAnsiTheme="minorEastAsia" w:eastAsiaTheme="minorEastAsia"/>
          <w:sz w:val="24"/>
        </w:rPr>
        <w:t>及本章的规定</w:t>
      </w:r>
      <w:r>
        <w:rPr>
          <w:rFonts w:hint="eastAsia" w:asciiTheme="minorEastAsia" w:hAnsiTheme="minorEastAsia" w:eastAsiaTheme="minorEastAsia"/>
          <w:sz w:val="24"/>
        </w:rPr>
        <w:t>评审</w:t>
      </w:r>
      <w:r>
        <w:rPr>
          <w:rFonts w:asciiTheme="minorEastAsia" w:hAnsiTheme="minorEastAsia" w:eastAsiaTheme="minorEastAsia"/>
          <w:sz w:val="24"/>
        </w:rPr>
        <w:t>。</w:t>
      </w:r>
    </w:p>
    <w:p w14:paraId="6170FEBC">
      <w:pPr>
        <w:spacing w:line="360" w:lineRule="auto"/>
        <w:ind w:firstLine="437"/>
        <w:outlineLvl w:val="1"/>
        <w:rPr>
          <w:rFonts w:asciiTheme="minorEastAsia" w:hAnsiTheme="minorEastAsia" w:eastAsiaTheme="minorEastAsia"/>
          <w:b/>
          <w:sz w:val="24"/>
        </w:rPr>
      </w:pPr>
      <w:bookmarkStart w:id="66" w:name="_Toc16885"/>
      <w:bookmarkStart w:id="67" w:name="_Toc13039"/>
      <w:r>
        <w:rPr>
          <w:rFonts w:hint="eastAsia" w:asciiTheme="minorEastAsia" w:hAnsiTheme="minorEastAsia" w:eastAsiaTheme="minorEastAsia"/>
          <w:b/>
          <w:sz w:val="24"/>
        </w:rPr>
        <w:t>二、评审方法</w:t>
      </w:r>
      <w:bookmarkEnd w:id="66"/>
      <w:bookmarkEnd w:id="67"/>
    </w:p>
    <w:p w14:paraId="50FB2BC6">
      <w:pPr>
        <w:spacing w:line="360" w:lineRule="auto"/>
        <w:ind w:firstLine="435"/>
        <w:outlineLvl w:val="2"/>
        <w:rPr>
          <w:rFonts w:asciiTheme="minorEastAsia" w:hAnsiTheme="minorEastAsia" w:eastAsiaTheme="minorEastAsia"/>
          <w:sz w:val="24"/>
        </w:rPr>
      </w:pPr>
      <w:r>
        <w:rPr>
          <w:rFonts w:hint="eastAsia" w:asciiTheme="minorEastAsia" w:hAnsiTheme="minorEastAsia" w:eastAsiaTheme="minorEastAsia"/>
          <w:sz w:val="24"/>
        </w:rPr>
        <w:t>2.1初审</w:t>
      </w:r>
    </w:p>
    <w:p w14:paraId="2D83EAE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磋商小组对供应商的响应文件进行初审，以确定其是否满足磋商文件的实质性要求。初审表如下：</w:t>
      </w:r>
    </w:p>
    <w:tbl>
      <w:tblPr>
        <w:tblStyle w:val="27"/>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651"/>
        <w:gridCol w:w="4556"/>
        <w:gridCol w:w="1901"/>
      </w:tblGrid>
      <w:tr w14:paraId="650D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43598720">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初审表</w:t>
            </w:r>
          </w:p>
        </w:tc>
      </w:tr>
      <w:tr w14:paraId="1FF6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tcBorders>
              <w:bottom w:val="single" w:color="auto" w:sz="4" w:space="0"/>
            </w:tcBorders>
            <w:vAlign w:val="center"/>
          </w:tcPr>
          <w:p w14:paraId="4146FE77">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942" w:type="pct"/>
            <w:tcBorders>
              <w:bottom w:val="single" w:color="auto" w:sz="4" w:space="0"/>
            </w:tcBorders>
            <w:vAlign w:val="center"/>
          </w:tcPr>
          <w:p w14:paraId="35F2D9FE">
            <w:pPr>
              <w:pStyle w:val="48"/>
            </w:pPr>
            <w:r>
              <w:rPr>
                <w:rFonts w:hint="eastAsia"/>
              </w:rPr>
              <w:t>审查指标</w:t>
            </w:r>
          </w:p>
        </w:tc>
        <w:tc>
          <w:tcPr>
            <w:tcW w:w="2600" w:type="pct"/>
            <w:tcBorders>
              <w:bottom w:val="single" w:color="auto" w:sz="4" w:space="0"/>
            </w:tcBorders>
            <w:vAlign w:val="center"/>
          </w:tcPr>
          <w:p w14:paraId="1790456F">
            <w:pPr>
              <w:adjustRightInd w:val="0"/>
              <w:snapToGrid w:val="0"/>
              <w:spacing w:line="360" w:lineRule="auto"/>
              <w:ind w:right="-10"/>
              <w:jc w:val="center"/>
              <w:rPr>
                <w:rFonts w:ascii="宋体" w:hAnsi="宋体" w:eastAsia="宋体"/>
                <w:sz w:val="24"/>
              </w:rPr>
            </w:pPr>
            <w:r>
              <w:rPr>
                <w:rFonts w:hint="eastAsia" w:ascii="宋体" w:hAnsi="宋体" w:eastAsia="宋体"/>
                <w:sz w:val="24"/>
              </w:rPr>
              <w:t>审查标准</w:t>
            </w:r>
          </w:p>
        </w:tc>
        <w:tc>
          <w:tcPr>
            <w:tcW w:w="1085" w:type="pct"/>
            <w:tcBorders>
              <w:bottom w:val="single" w:color="auto" w:sz="4" w:space="0"/>
            </w:tcBorders>
            <w:vAlign w:val="center"/>
          </w:tcPr>
          <w:p w14:paraId="37C65D1C">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07D3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3" w:type="pct"/>
            <w:tcBorders>
              <w:bottom w:val="single" w:color="auto" w:sz="4" w:space="0"/>
            </w:tcBorders>
            <w:vAlign w:val="center"/>
          </w:tcPr>
          <w:p w14:paraId="64715D21">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942" w:type="pct"/>
            <w:tcBorders>
              <w:bottom w:val="single" w:color="auto" w:sz="4" w:space="0"/>
            </w:tcBorders>
            <w:vAlign w:val="center"/>
          </w:tcPr>
          <w:p w14:paraId="6070149A">
            <w:pPr>
              <w:spacing w:after="50" w:line="360" w:lineRule="auto"/>
              <w:ind w:right="-10"/>
              <w:jc w:val="center"/>
              <w:rPr>
                <w:rFonts w:ascii="宋体" w:hAnsi="宋体" w:eastAsia="宋体"/>
                <w:sz w:val="24"/>
                <w:szCs w:val="28"/>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600" w:type="pct"/>
            <w:tcBorders>
              <w:bottom w:val="single" w:color="auto" w:sz="4" w:space="0"/>
            </w:tcBorders>
            <w:vAlign w:val="center"/>
          </w:tcPr>
          <w:p w14:paraId="2D38B12C">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（1）供应商</w:t>
            </w:r>
            <w:r>
              <w:rPr>
                <w:rFonts w:ascii="宋体" w:hAnsi="宋体" w:eastAsia="宋体" w:cs="宋体"/>
                <w:sz w:val="24"/>
                <w:szCs w:val="24"/>
              </w:rPr>
              <w:t>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p w14:paraId="207F86FF">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（2）供应商</w:t>
            </w:r>
            <w:r>
              <w:rPr>
                <w:rFonts w:ascii="宋体" w:hAnsi="宋体" w:eastAsia="宋体" w:cs="宋体"/>
                <w:sz w:val="24"/>
                <w:szCs w:val="24"/>
              </w:rPr>
              <w:t>为事业单位的，应</w:t>
            </w:r>
            <w:r>
              <w:rPr>
                <w:rFonts w:hint="eastAsia" w:ascii="宋体" w:hAnsi="宋体" w:eastAsia="宋体" w:cs="宋体"/>
                <w:sz w:val="24"/>
                <w:szCs w:val="24"/>
              </w:rPr>
              <w:t>提</w:t>
            </w:r>
            <w:r>
              <w:rPr>
                <w:rFonts w:ascii="宋体" w:hAnsi="宋体" w:eastAsia="宋体" w:cs="宋体"/>
                <w:sz w:val="24"/>
                <w:szCs w:val="24"/>
              </w:rPr>
              <w:t>供有效的事业单位法人证书；</w:t>
            </w:r>
          </w:p>
          <w:p w14:paraId="58F14C2B">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（3）供应商</w:t>
            </w:r>
            <w:r>
              <w:rPr>
                <w:rFonts w:ascii="宋体" w:hAnsi="宋体" w:eastAsia="宋体" w:cs="宋体"/>
                <w:sz w:val="24"/>
                <w:szCs w:val="24"/>
              </w:rPr>
              <w:t>是非企业机构的，应</w:t>
            </w:r>
            <w:r>
              <w:rPr>
                <w:rFonts w:hint="eastAsia" w:ascii="宋体" w:hAnsi="宋体" w:eastAsia="宋体" w:cs="宋体"/>
                <w:sz w:val="24"/>
                <w:szCs w:val="24"/>
              </w:rPr>
              <w:t>提</w:t>
            </w:r>
            <w:r>
              <w:rPr>
                <w:rFonts w:ascii="宋体" w:hAnsi="宋体" w:eastAsia="宋体" w:cs="宋体"/>
                <w:sz w:val="24"/>
                <w:szCs w:val="24"/>
              </w:rPr>
              <w:t>供有效的执业许可证</w:t>
            </w:r>
            <w:r>
              <w:rPr>
                <w:rFonts w:hint="eastAsia" w:ascii="宋体" w:hAnsi="宋体" w:eastAsia="宋体" w:cs="宋体"/>
                <w:sz w:val="24"/>
                <w:szCs w:val="24"/>
              </w:rPr>
              <w:t>或</w:t>
            </w:r>
            <w:r>
              <w:rPr>
                <w:rFonts w:ascii="宋体" w:hAnsi="宋体" w:eastAsia="宋体" w:cs="宋体"/>
                <w:sz w:val="24"/>
                <w:szCs w:val="24"/>
              </w:rPr>
              <w:t>登记证书等证明文件；</w:t>
            </w:r>
          </w:p>
          <w:p w14:paraId="47B431DC">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（4）供应商</w:t>
            </w:r>
            <w:r>
              <w:rPr>
                <w:rFonts w:ascii="宋体" w:hAnsi="宋体" w:eastAsia="宋体" w:cs="宋体"/>
                <w:sz w:val="24"/>
                <w:szCs w:val="24"/>
              </w:rPr>
              <w:t>是个体工商户的，应</w:t>
            </w:r>
            <w:r>
              <w:rPr>
                <w:rFonts w:hint="eastAsia" w:ascii="宋体" w:hAnsi="宋体" w:eastAsia="宋体" w:cs="宋体"/>
                <w:sz w:val="24"/>
                <w:szCs w:val="24"/>
              </w:rPr>
              <w:t>提</w:t>
            </w:r>
            <w:r>
              <w:rPr>
                <w:rFonts w:ascii="宋体" w:hAnsi="宋体" w:eastAsia="宋体" w:cs="宋体"/>
                <w:sz w:val="24"/>
                <w:szCs w:val="24"/>
              </w:rPr>
              <w:t>供有效的个体工商户营业执照；</w:t>
            </w:r>
          </w:p>
          <w:p w14:paraId="6A4B1670">
            <w:pPr>
              <w:spacing w:after="50" w:line="360" w:lineRule="auto"/>
              <w:ind w:right="-10"/>
              <w:jc w:val="left"/>
              <w:rPr>
                <w:rFonts w:ascii="宋体" w:hAnsi="宋体" w:eastAsia="宋体"/>
                <w:sz w:val="24"/>
                <w:szCs w:val="28"/>
              </w:rPr>
            </w:pPr>
            <w:r>
              <w:rPr>
                <w:rFonts w:hint="eastAsia" w:ascii="宋体" w:hAnsi="宋体" w:eastAsia="宋体" w:cs="宋体"/>
                <w:sz w:val="24"/>
                <w:szCs w:val="24"/>
              </w:rPr>
              <w:t>（5）供应商</w:t>
            </w:r>
            <w:r>
              <w:rPr>
                <w:rFonts w:ascii="宋体" w:hAnsi="宋体" w:eastAsia="宋体" w:cs="宋体"/>
                <w:sz w:val="24"/>
                <w:szCs w:val="24"/>
              </w:rPr>
              <w:t>是自然人的，应</w:t>
            </w:r>
            <w:r>
              <w:rPr>
                <w:rFonts w:hint="eastAsia" w:ascii="宋体" w:hAnsi="宋体" w:eastAsia="宋体" w:cs="宋体"/>
                <w:sz w:val="24"/>
                <w:szCs w:val="24"/>
              </w:rPr>
              <w:t>提</w:t>
            </w:r>
            <w:r>
              <w:rPr>
                <w:rFonts w:ascii="宋体" w:hAnsi="宋体" w:eastAsia="宋体" w:cs="宋体"/>
                <w:sz w:val="24"/>
                <w:szCs w:val="24"/>
              </w:rPr>
              <w:t>供有效的自然人身份证明。</w:t>
            </w:r>
          </w:p>
        </w:tc>
        <w:tc>
          <w:tcPr>
            <w:tcW w:w="1085" w:type="pct"/>
            <w:vAlign w:val="center"/>
          </w:tcPr>
          <w:p w14:paraId="25444AFD">
            <w:pPr>
              <w:spacing w:line="360" w:lineRule="auto"/>
              <w:jc w:val="left"/>
              <w:rPr>
                <w:rFonts w:ascii="宋体" w:hAnsi="宋体" w:eastAsia="宋体"/>
                <w:sz w:val="24"/>
              </w:rPr>
            </w:pPr>
            <w:r>
              <w:rPr>
                <w:rFonts w:hint="eastAsia" w:ascii="宋体" w:hAnsi="宋体" w:eastAsia="宋体" w:cs="宋体"/>
                <w:sz w:val="24"/>
                <w:szCs w:val="24"/>
              </w:rPr>
              <w:t>提供材料扫描件或电子证照，应完整的体现出材料或电子证照全部内容。联合体磋商的联合体各方均须提供。</w:t>
            </w:r>
          </w:p>
        </w:tc>
      </w:tr>
      <w:tr w14:paraId="6893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3" w:type="pct"/>
            <w:tcBorders>
              <w:bottom w:val="single" w:color="auto" w:sz="4" w:space="0"/>
            </w:tcBorders>
            <w:vAlign w:val="center"/>
          </w:tcPr>
          <w:p w14:paraId="77B6BAA3">
            <w:pPr>
              <w:adjustRightInd w:val="0"/>
              <w:snapToGrid w:val="0"/>
              <w:spacing w:line="360" w:lineRule="auto"/>
              <w:ind w:right="-10"/>
              <w:jc w:val="center"/>
              <w:rPr>
                <w:rFonts w:ascii="宋体" w:hAnsi="宋体" w:eastAsia="宋体"/>
                <w:sz w:val="24"/>
              </w:rPr>
            </w:pPr>
            <w:r>
              <w:rPr>
                <w:rFonts w:hint="eastAsia" w:ascii="宋体" w:hAnsi="宋体" w:eastAsia="宋体"/>
                <w:sz w:val="24"/>
              </w:rPr>
              <w:t>2</w:t>
            </w:r>
          </w:p>
        </w:tc>
        <w:tc>
          <w:tcPr>
            <w:tcW w:w="942" w:type="pct"/>
            <w:tcBorders>
              <w:bottom w:val="single" w:color="auto" w:sz="4" w:space="0"/>
            </w:tcBorders>
            <w:vAlign w:val="center"/>
          </w:tcPr>
          <w:p w14:paraId="5A2D71E2">
            <w:pPr>
              <w:spacing w:after="50" w:line="360" w:lineRule="auto"/>
              <w:ind w:right="-10"/>
              <w:jc w:val="center"/>
              <w:rPr>
                <w:rFonts w:ascii="宋体" w:hAnsi="宋体" w:eastAsia="宋体"/>
                <w:sz w:val="24"/>
                <w:szCs w:val="28"/>
              </w:rPr>
            </w:pPr>
            <w:r>
              <w:rPr>
                <w:rFonts w:hint="eastAsia" w:ascii="宋体" w:hAnsi="宋体" w:eastAsia="宋体"/>
                <w:sz w:val="24"/>
                <w:szCs w:val="18"/>
              </w:rPr>
              <w:t>供应商资格声明书</w:t>
            </w:r>
          </w:p>
        </w:tc>
        <w:tc>
          <w:tcPr>
            <w:tcW w:w="2600" w:type="pct"/>
            <w:tcBorders>
              <w:bottom w:val="single" w:color="auto" w:sz="4" w:space="0"/>
            </w:tcBorders>
            <w:vAlign w:val="center"/>
          </w:tcPr>
          <w:p w14:paraId="61B725F6">
            <w:pPr>
              <w:spacing w:after="50" w:line="360" w:lineRule="auto"/>
              <w:ind w:right="-10"/>
              <w:jc w:val="left"/>
              <w:rPr>
                <w:rFonts w:ascii="宋体" w:hAnsi="宋体" w:eastAsia="宋体"/>
                <w:sz w:val="24"/>
                <w:szCs w:val="28"/>
              </w:rPr>
            </w:pPr>
            <w:r>
              <w:rPr>
                <w:rFonts w:hint="eastAsia" w:ascii="宋体" w:hAnsi="宋体" w:eastAsia="宋体" w:cs="宋体"/>
                <w:sz w:val="24"/>
                <w:szCs w:val="24"/>
              </w:rPr>
              <w:t>提</w:t>
            </w:r>
            <w:r>
              <w:rPr>
                <w:rFonts w:ascii="宋体" w:hAnsi="宋体" w:eastAsia="宋体" w:cs="宋体"/>
                <w:sz w:val="24"/>
                <w:szCs w:val="24"/>
              </w:rPr>
              <w:t>供符合</w:t>
            </w:r>
            <w:r>
              <w:rPr>
                <w:rFonts w:hint="eastAsia" w:ascii="宋体" w:hAnsi="宋体" w:eastAsia="宋体" w:cs="宋体"/>
                <w:sz w:val="24"/>
                <w:szCs w:val="24"/>
              </w:rPr>
              <w:t>磋商</w:t>
            </w:r>
            <w:r>
              <w:rPr>
                <w:rFonts w:ascii="宋体" w:hAnsi="宋体" w:eastAsia="宋体" w:cs="宋体"/>
                <w:sz w:val="24"/>
                <w:szCs w:val="24"/>
              </w:rPr>
              <w:t>文件要求的《</w:t>
            </w:r>
            <w:r>
              <w:rPr>
                <w:rFonts w:hint="eastAsia" w:ascii="宋体" w:hAnsi="宋体" w:eastAsia="宋体" w:cs="宋体"/>
                <w:sz w:val="24"/>
                <w:szCs w:val="24"/>
              </w:rPr>
              <w:t>供应商</w:t>
            </w:r>
            <w:r>
              <w:rPr>
                <w:rFonts w:ascii="宋体" w:hAnsi="宋体" w:eastAsia="宋体" w:cs="宋体"/>
                <w:sz w:val="24"/>
                <w:szCs w:val="24"/>
              </w:rPr>
              <w:t>资格声明书》</w:t>
            </w:r>
            <w:r>
              <w:rPr>
                <w:rFonts w:hint="eastAsia" w:ascii="宋体" w:hAnsi="宋体" w:eastAsia="宋体" w:cs="宋体"/>
                <w:sz w:val="24"/>
                <w:szCs w:val="24"/>
              </w:rPr>
              <w:t>。</w:t>
            </w:r>
          </w:p>
        </w:tc>
        <w:tc>
          <w:tcPr>
            <w:tcW w:w="1085" w:type="pct"/>
            <w:vAlign w:val="center"/>
          </w:tcPr>
          <w:p w14:paraId="34D5D9B1">
            <w:pPr>
              <w:spacing w:line="360" w:lineRule="auto"/>
              <w:jc w:val="left"/>
              <w:rPr>
                <w:rFonts w:ascii="宋体" w:hAnsi="宋体" w:eastAsia="宋体" w:cs="宋体"/>
                <w:sz w:val="24"/>
                <w:szCs w:val="24"/>
              </w:rPr>
            </w:pPr>
            <w:r>
              <w:rPr>
                <w:rFonts w:hint="eastAsia" w:ascii="宋体" w:hAnsi="宋体" w:eastAsia="宋体"/>
                <w:sz w:val="24"/>
              </w:rPr>
              <w:t>详见第六章响应文件格式。</w:t>
            </w:r>
          </w:p>
        </w:tc>
      </w:tr>
      <w:tr w14:paraId="3B4C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tcBorders>
              <w:bottom w:val="single" w:color="auto" w:sz="4" w:space="0"/>
            </w:tcBorders>
            <w:vAlign w:val="center"/>
          </w:tcPr>
          <w:p w14:paraId="2844EAE9">
            <w:pPr>
              <w:adjustRightInd w:val="0"/>
              <w:snapToGrid w:val="0"/>
              <w:spacing w:line="360" w:lineRule="auto"/>
              <w:ind w:right="-10"/>
              <w:jc w:val="center"/>
              <w:rPr>
                <w:rFonts w:ascii="宋体" w:hAnsi="宋体" w:eastAsia="宋体"/>
                <w:sz w:val="24"/>
              </w:rPr>
            </w:pPr>
            <w:r>
              <w:rPr>
                <w:rFonts w:hint="eastAsia" w:ascii="宋体" w:hAnsi="宋体" w:eastAsia="宋体"/>
                <w:sz w:val="24"/>
              </w:rPr>
              <w:t>3</w:t>
            </w:r>
          </w:p>
        </w:tc>
        <w:tc>
          <w:tcPr>
            <w:tcW w:w="942" w:type="pct"/>
            <w:tcBorders>
              <w:bottom w:val="single" w:color="auto" w:sz="4" w:space="0"/>
            </w:tcBorders>
            <w:vAlign w:val="center"/>
          </w:tcPr>
          <w:p w14:paraId="6E5D6818">
            <w:pPr>
              <w:spacing w:after="50" w:line="360" w:lineRule="auto"/>
              <w:ind w:right="-10"/>
              <w:jc w:val="center"/>
              <w:rPr>
                <w:rFonts w:ascii="宋体" w:hAnsi="宋体" w:eastAsia="宋体"/>
                <w:sz w:val="24"/>
                <w:szCs w:val="28"/>
              </w:rPr>
            </w:pPr>
            <w:r>
              <w:rPr>
                <w:rFonts w:hint="eastAsia" w:ascii="宋体" w:hAnsi="宋体" w:eastAsia="宋体"/>
                <w:sz w:val="24"/>
                <w:szCs w:val="18"/>
              </w:rPr>
              <w:t>供应商</w:t>
            </w:r>
            <w:r>
              <w:rPr>
                <w:rFonts w:hint="eastAsia" w:ascii="宋体" w:hAnsi="宋体" w:eastAsia="宋体" w:cs="宋体"/>
                <w:sz w:val="24"/>
                <w:szCs w:val="24"/>
              </w:rPr>
              <w:t>信用记录</w:t>
            </w:r>
          </w:p>
        </w:tc>
        <w:tc>
          <w:tcPr>
            <w:tcW w:w="2600" w:type="pct"/>
            <w:tcBorders>
              <w:bottom w:val="single" w:color="auto" w:sz="4" w:space="0"/>
            </w:tcBorders>
            <w:vAlign w:val="center"/>
          </w:tcPr>
          <w:p w14:paraId="33F1A11E">
            <w:pPr>
              <w:spacing w:after="50" w:line="360" w:lineRule="auto"/>
              <w:ind w:right="-10"/>
              <w:jc w:val="left"/>
            </w:pPr>
            <w:r>
              <w:rPr>
                <w:rFonts w:hint="eastAsia" w:ascii="宋体" w:hAnsi="宋体" w:eastAsia="宋体" w:cs="宋体"/>
                <w:sz w:val="24"/>
                <w:szCs w:val="24"/>
              </w:rPr>
              <w:t>供应商</w:t>
            </w:r>
            <w:r>
              <w:rPr>
                <w:rFonts w:hint="eastAsia" w:ascii="宋体" w:hAnsi="宋体" w:eastAsia="宋体" w:cs="宋体"/>
                <w:sz w:val="24"/>
                <w:szCs w:val="24"/>
                <w:lang w:val="zh-CN"/>
              </w:rPr>
              <w:t>不得存在</w:t>
            </w:r>
            <w:r>
              <w:rPr>
                <w:rFonts w:hint="eastAsia" w:ascii="宋体" w:hAnsi="宋体" w:eastAsia="宋体" w:cs="宋体"/>
                <w:sz w:val="24"/>
                <w:szCs w:val="24"/>
              </w:rPr>
              <w:t>供应商</w:t>
            </w:r>
            <w:r>
              <w:rPr>
                <w:rFonts w:hint="eastAsia" w:ascii="宋体" w:hAnsi="宋体" w:eastAsia="宋体" w:cs="宋体"/>
                <w:sz w:val="24"/>
                <w:szCs w:val="24"/>
                <w:lang w:val="zh-CN"/>
              </w:rPr>
              <w:t>须知正文第1</w:t>
            </w: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宋体"/>
                <w:sz w:val="24"/>
                <w:szCs w:val="24"/>
              </w:rPr>
              <w:t>3条中</w:t>
            </w:r>
            <w:r>
              <w:rPr>
                <w:rFonts w:hint="eastAsia" w:ascii="宋体" w:hAnsi="宋体" w:eastAsia="宋体"/>
                <w:sz w:val="24"/>
                <w:szCs w:val="28"/>
              </w:rPr>
              <w:t>的</w:t>
            </w:r>
            <w:r>
              <w:rPr>
                <w:rFonts w:hint="eastAsia" w:ascii="宋体" w:hAnsi="宋体" w:eastAsia="宋体"/>
                <w:sz w:val="24"/>
                <w:szCs w:val="18"/>
              </w:rPr>
              <w:t>不良信用记录情形</w:t>
            </w:r>
          </w:p>
        </w:tc>
        <w:tc>
          <w:tcPr>
            <w:tcW w:w="1085" w:type="pct"/>
            <w:tcBorders>
              <w:bottom w:val="single" w:color="auto" w:sz="4" w:space="0"/>
            </w:tcBorders>
            <w:vAlign w:val="center"/>
          </w:tcPr>
          <w:p w14:paraId="6A3E4DDB">
            <w:pPr>
              <w:spacing w:line="360" w:lineRule="auto"/>
              <w:jc w:val="left"/>
            </w:pPr>
            <w:r>
              <w:rPr>
                <w:rFonts w:hint="eastAsia" w:ascii="宋体" w:hAnsi="宋体" w:eastAsia="宋体" w:cs="宋体"/>
                <w:sz w:val="24"/>
                <w:szCs w:val="24"/>
              </w:rPr>
              <w:t>无须供应商提供，由采购人或采购代理机构查询。</w:t>
            </w:r>
          </w:p>
        </w:tc>
      </w:tr>
      <w:tr w14:paraId="59BE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tcBorders>
              <w:bottom w:val="single" w:color="auto" w:sz="4" w:space="0"/>
            </w:tcBorders>
            <w:vAlign w:val="center"/>
          </w:tcPr>
          <w:p w14:paraId="69C2EAF8">
            <w:pPr>
              <w:adjustRightInd w:val="0"/>
              <w:snapToGrid w:val="0"/>
              <w:spacing w:line="360" w:lineRule="auto"/>
              <w:ind w:right="-10"/>
              <w:jc w:val="center"/>
              <w:rPr>
                <w:rFonts w:ascii="宋体" w:hAnsi="宋体" w:eastAsia="宋体"/>
                <w:sz w:val="24"/>
              </w:rPr>
            </w:pPr>
            <w:r>
              <w:rPr>
                <w:rFonts w:hint="eastAsia" w:ascii="宋体" w:hAnsi="宋体" w:eastAsia="宋体"/>
                <w:sz w:val="24"/>
              </w:rPr>
              <w:t>4</w:t>
            </w:r>
          </w:p>
        </w:tc>
        <w:tc>
          <w:tcPr>
            <w:tcW w:w="942" w:type="pct"/>
            <w:tcBorders>
              <w:bottom w:val="single" w:color="auto" w:sz="4" w:space="0"/>
            </w:tcBorders>
            <w:vAlign w:val="center"/>
          </w:tcPr>
          <w:p w14:paraId="03374BF5">
            <w:pPr>
              <w:spacing w:after="50" w:line="360" w:lineRule="auto"/>
              <w:ind w:right="-10"/>
              <w:jc w:val="center"/>
              <w:rPr>
                <w:rFonts w:ascii="宋体" w:hAnsi="宋体" w:eastAsia="宋体" w:cs="宋体"/>
                <w:sz w:val="24"/>
                <w:szCs w:val="24"/>
              </w:rPr>
            </w:pPr>
            <w:r>
              <w:rPr>
                <w:rFonts w:hint="eastAsia" w:ascii="宋体" w:hAnsi="宋体" w:eastAsia="宋体" w:cs="宋体"/>
                <w:sz w:val="24"/>
                <w:szCs w:val="24"/>
              </w:rPr>
              <w:t>中小企业证明文件</w:t>
            </w:r>
          </w:p>
        </w:tc>
        <w:tc>
          <w:tcPr>
            <w:tcW w:w="2600" w:type="pct"/>
            <w:tcBorders>
              <w:bottom w:val="single" w:color="auto" w:sz="4" w:space="0"/>
            </w:tcBorders>
          </w:tcPr>
          <w:p w14:paraId="2D6D422C">
            <w:pPr>
              <w:spacing w:after="50" w:line="360" w:lineRule="auto"/>
              <w:ind w:right="-10"/>
              <w:jc w:val="left"/>
              <w:rPr>
                <w:rFonts w:ascii="宋体" w:hAnsi="宋体" w:eastAsia="宋体" w:cs="宋体"/>
                <w:sz w:val="24"/>
                <w:szCs w:val="24"/>
              </w:rPr>
            </w:pPr>
            <w:r>
              <w:rPr>
                <w:rFonts w:hint="eastAsia" w:ascii="宋体" w:hAnsi="宋体" w:eastAsia="宋体"/>
                <w:sz w:val="24"/>
                <w:szCs w:val="28"/>
              </w:rPr>
              <w:t>符合申请人的资格要求中落实政府采购政策需满足的资格要求：</w:t>
            </w:r>
          </w:p>
          <w:p w14:paraId="1D03C61D">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（1）专门面向中小企业采购的，供应商应提供《中小企业声明函》或《残疾人福利性单位声明函》或由省级以上监狱管理局、戒毒管理局（含新疆 生产建设兵团）出具的属于监狱企业的证明文件。</w:t>
            </w:r>
          </w:p>
          <w:p w14:paraId="2D11F2F4">
            <w:pPr>
              <w:spacing w:after="50" w:line="360" w:lineRule="auto"/>
              <w:ind w:right="-10"/>
              <w:jc w:val="left"/>
              <w:rPr>
                <w:rFonts w:ascii="宋体" w:hAnsi="宋体" w:eastAsia="宋体" w:cs="宋体"/>
                <w:sz w:val="24"/>
                <w:szCs w:val="24"/>
                <w:lang w:eastAsia="en-US"/>
              </w:rPr>
            </w:pPr>
            <w:r>
              <w:rPr>
                <w:rFonts w:hint="eastAsia" w:ascii="宋体" w:hAnsi="宋体" w:eastAsia="宋体" w:cs="宋体"/>
                <w:sz w:val="24"/>
                <w:szCs w:val="24"/>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磋商文件关于预留份额的要求。</w:t>
            </w:r>
          </w:p>
        </w:tc>
        <w:tc>
          <w:tcPr>
            <w:tcW w:w="1085" w:type="pct"/>
            <w:tcBorders>
              <w:bottom w:val="single" w:color="auto" w:sz="4" w:space="0"/>
            </w:tcBorders>
            <w:vAlign w:val="center"/>
          </w:tcPr>
          <w:p w14:paraId="7028D3E8">
            <w:pPr>
              <w:spacing w:after="50" w:line="360" w:lineRule="auto"/>
              <w:ind w:right="-10"/>
              <w:jc w:val="center"/>
              <w:rPr>
                <w:rFonts w:ascii="宋体" w:hAnsi="宋体" w:eastAsia="宋体" w:cs="宋体"/>
                <w:sz w:val="24"/>
                <w:szCs w:val="24"/>
              </w:rPr>
            </w:pPr>
            <w:r>
              <w:rPr>
                <w:rFonts w:hint="eastAsia" w:ascii="宋体" w:hAnsi="宋体" w:eastAsia="宋体"/>
                <w:sz w:val="24"/>
              </w:rPr>
              <w:t>详见第六章响应文件格式。</w:t>
            </w:r>
          </w:p>
        </w:tc>
      </w:tr>
      <w:tr w14:paraId="55FC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38884D07">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942" w:type="pct"/>
            <w:vAlign w:val="center"/>
          </w:tcPr>
          <w:p w14:paraId="41A14C2A">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磋商响应函</w:t>
            </w:r>
          </w:p>
        </w:tc>
        <w:tc>
          <w:tcPr>
            <w:tcW w:w="2600" w:type="pct"/>
            <w:vAlign w:val="center"/>
          </w:tcPr>
          <w:p w14:paraId="5FE15786">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格式、填写要求符合磋商文件规定并加盖供应商盖公章</w:t>
            </w:r>
          </w:p>
        </w:tc>
        <w:tc>
          <w:tcPr>
            <w:tcW w:w="1085" w:type="pct"/>
            <w:vAlign w:val="center"/>
          </w:tcPr>
          <w:p w14:paraId="5B011CD5">
            <w:pPr>
              <w:adjustRightInd w:val="0"/>
              <w:snapToGrid w:val="0"/>
              <w:spacing w:line="360" w:lineRule="auto"/>
              <w:ind w:right="-10"/>
              <w:jc w:val="center"/>
              <w:rPr>
                <w:rFonts w:asciiTheme="minorEastAsia" w:hAnsiTheme="minorEastAsia" w:eastAsiaTheme="minorEastAsia"/>
                <w:sz w:val="24"/>
              </w:rPr>
            </w:pPr>
            <w:r>
              <w:rPr>
                <w:rFonts w:hint="eastAsia" w:ascii="宋体" w:hAnsi="宋体" w:eastAsia="宋体"/>
                <w:sz w:val="24"/>
              </w:rPr>
              <w:t>详见第六章响应文件格式。</w:t>
            </w:r>
          </w:p>
        </w:tc>
      </w:tr>
      <w:tr w14:paraId="0CB7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4FCE6044">
            <w:pPr>
              <w:adjustRightInd w:val="0"/>
              <w:snapToGrid w:val="0"/>
              <w:spacing w:line="360" w:lineRule="auto"/>
              <w:ind w:right="-10"/>
              <w:jc w:val="center"/>
              <w:rPr>
                <w:rFonts w:ascii="宋体" w:hAnsi="宋体" w:eastAsia="宋体"/>
                <w:sz w:val="24"/>
              </w:rPr>
            </w:pPr>
            <w:r>
              <w:rPr>
                <w:rFonts w:hint="eastAsia" w:asciiTheme="minorEastAsia" w:hAnsiTheme="minorEastAsia" w:eastAsiaTheme="minorEastAsia"/>
                <w:sz w:val="24"/>
              </w:rPr>
              <w:t>6</w:t>
            </w:r>
          </w:p>
        </w:tc>
        <w:tc>
          <w:tcPr>
            <w:tcW w:w="942" w:type="pct"/>
            <w:vAlign w:val="center"/>
          </w:tcPr>
          <w:p w14:paraId="3C89A6B1">
            <w:pPr>
              <w:spacing w:after="50" w:line="360" w:lineRule="auto"/>
              <w:ind w:right="-10"/>
              <w:jc w:val="center"/>
              <w:rPr>
                <w:rFonts w:ascii="宋体" w:hAnsi="宋体" w:eastAsia="宋体" w:cs="宋体"/>
                <w:spacing w:val="10"/>
                <w:sz w:val="24"/>
                <w:szCs w:val="24"/>
              </w:rPr>
            </w:pPr>
            <w:r>
              <w:rPr>
                <w:rFonts w:hint="eastAsia" w:asciiTheme="minorEastAsia" w:hAnsiTheme="minorEastAsia" w:eastAsiaTheme="minorEastAsia"/>
                <w:sz w:val="24"/>
                <w:szCs w:val="28"/>
              </w:rPr>
              <w:t>授权书</w:t>
            </w:r>
          </w:p>
        </w:tc>
        <w:tc>
          <w:tcPr>
            <w:tcW w:w="2600" w:type="pct"/>
            <w:vAlign w:val="center"/>
          </w:tcPr>
          <w:p w14:paraId="71F3E5A3">
            <w:pPr>
              <w:spacing w:after="50" w:line="360" w:lineRule="auto"/>
              <w:ind w:right="-10"/>
              <w:jc w:val="center"/>
              <w:rPr>
                <w:rFonts w:ascii="宋体" w:hAnsi="宋体" w:eastAsia="宋体" w:cs="宋体"/>
                <w:spacing w:val="10"/>
                <w:sz w:val="24"/>
                <w:szCs w:val="24"/>
              </w:rPr>
            </w:pPr>
            <w:r>
              <w:rPr>
                <w:rFonts w:hint="eastAsia" w:asciiTheme="minorEastAsia" w:hAnsiTheme="minorEastAsia" w:eastAsiaTheme="minorEastAsia"/>
                <w:sz w:val="24"/>
                <w:szCs w:val="28"/>
              </w:rPr>
              <w:t>格式、填写要求符合</w:t>
            </w:r>
            <w:r>
              <w:rPr>
                <w:rFonts w:hint="eastAsia" w:ascii="宋体" w:hAnsi="宋体" w:eastAsia="宋体" w:cs="宋体"/>
                <w:spacing w:val="10"/>
                <w:sz w:val="24"/>
                <w:szCs w:val="24"/>
              </w:rPr>
              <w:t>磋商</w:t>
            </w:r>
            <w:r>
              <w:rPr>
                <w:rFonts w:hint="eastAsia" w:asciiTheme="minorEastAsia" w:hAnsiTheme="minorEastAsia" w:eastAsiaTheme="minorEastAsia"/>
                <w:sz w:val="24"/>
                <w:szCs w:val="28"/>
              </w:rPr>
              <w:t>文件规定并加盖</w:t>
            </w:r>
            <w:r>
              <w:rPr>
                <w:rFonts w:hint="eastAsia" w:asciiTheme="minorEastAsia" w:hAnsiTheme="minorEastAsia" w:eastAsiaTheme="minorEastAsia"/>
                <w:sz w:val="24"/>
              </w:rPr>
              <w:t>供应商盖公章</w:t>
            </w:r>
          </w:p>
        </w:tc>
        <w:tc>
          <w:tcPr>
            <w:tcW w:w="1085" w:type="pct"/>
            <w:vAlign w:val="center"/>
          </w:tcPr>
          <w:p w14:paraId="46A988E4">
            <w:pPr>
              <w:adjustRightInd w:val="0"/>
              <w:snapToGrid w:val="0"/>
              <w:spacing w:line="360" w:lineRule="auto"/>
              <w:ind w:right="-10"/>
              <w:jc w:val="center"/>
              <w:rPr>
                <w:rFonts w:ascii="宋体" w:hAnsi="宋体" w:eastAsia="宋体" w:cs="宋体"/>
                <w:sz w:val="24"/>
                <w:szCs w:val="24"/>
              </w:rPr>
            </w:pPr>
            <w:r>
              <w:rPr>
                <w:rFonts w:hint="eastAsia" w:asciiTheme="minorEastAsia" w:hAnsiTheme="minorEastAsia" w:eastAsiaTheme="minorEastAsia"/>
                <w:sz w:val="24"/>
              </w:rPr>
              <w:t>法定代表人参加磋商的无需此件，提供身份证明即可。详见第六章响应文件格式。</w:t>
            </w:r>
          </w:p>
        </w:tc>
      </w:tr>
      <w:tr w14:paraId="0573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7C173D00">
            <w:pPr>
              <w:adjustRightInd w:val="0"/>
              <w:snapToGrid w:val="0"/>
              <w:spacing w:line="360" w:lineRule="auto"/>
              <w:ind w:right="-10"/>
              <w:jc w:val="center"/>
              <w:rPr>
                <w:rFonts w:ascii="宋体" w:hAnsi="宋体" w:eastAsia="宋体"/>
                <w:sz w:val="24"/>
              </w:rPr>
            </w:pPr>
            <w:r>
              <w:rPr>
                <w:rFonts w:hint="eastAsia" w:asciiTheme="minorEastAsia" w:hAnsiTheme="minorEastAsia" w:eastAsiaTheme="minorEastAsia"/>
                <w:sz w:val="24"/>
              </w:rPr>
              <w:t>7</w:t>
            </w:r>
          </w:p>
        </w:tc>
        <w:tc>
          <w:tcPr>
            <w:tcW w:w="942" w:type="pct"/>
            <w:vAlign w:val="center"/>
          </w:tcPr>
          <w:p w14:paraId="329061FF">
            <w:pPr>
              <w:spacing w:after="50" w:line="360" w:lineRule="auto"/>
              <w:ind w:right="-10"/>
              <w:jc w:val="center"/>
              <w:rPr>
                <w:rFonts w:ascii="宋体" w:hAnsi="宋体" w:eastAsia="宋体" w:cs="宋体"/>
                <w:spacing w:val="10"/>
                <w:sz w:val="24"/>
                <w:szCs w:val="24"/>
              </w:rPr>
            </w:pPr>
            <w:r>
              <w:rPr>
                <w:rFonts w:hint="eastAsia" w:asciiTheme="minorEastAsia" w:hAnsiTheme="minorEastAsia" w:eastAsiaTheme="minorEastAsia"/>
                <w:sz w:val="24"/>
                <w:szCs w:val="28"/>
              </w:rPr>
              <w:t>磋商报价</w:t>
            </w:r>
          </w:p>
        </w:tc>
        <w:tc>
          <w:tcPr>
            <w:tcW w:w="2600" w:type="pct"/>
            <w:vAlign w:val="center"/>
          </w:tcPr>
          <w:p w14:paraId="165B8FF8">
            <w:pPr>
              <w:spacing w:after="50" w:line="360" w:lineRule="auto"/>
              <w:ind w:right="-10"/>
              <w:jc w:val="center"/>
              <w:rPr>
                <w:rFonts w:ascii="宋体" w:hAnsi="宋体" w:eastAsia="宋体" w:cs="宋体"/>
                <w:spacing w:val="10"/>
                <w:sz w:val="24"/>
                <w:szCs w:val="24"/>
              </w:rPr>
            </w:pPr>
            <w:r>
              <w:rPr>
                <w:rFonts w:hint="eastAsia" w:asciiTheme="minorEastAsia" w:hAnsiTheme="minorEastAsia" w:eastAsiaTheme="minorEastAsia"/>
                <w:sz w:val="24"/>
                <w:szCs w:val="28"/>
              </w:rPr>
              <w:t>符合</w:t>
            </w:r>
            <w:r>
              <w:rPr>
                <w:rFonts w:hint="eastAsia" w:ascii="宋体" w:hAnsi="宋体" w:eastAsia="宋体" w:cs="宋体"/>
                <w:spacing w:val="10"/>
                <w:sz w:val="24"/>
                <w:szCs w:val="24"/>
              </w:rPr>
              <w:t>磋商</w:t>
            </w:r>
            <w:r>
              <w:rPr>
                <w:rFonts w:hint="eastAsia" w:asciiTheme="minorEastAsia" w:hAnsiTheme="minorEastAsia" w:eastAsiaTheme="minorEastAsia"/>
                <w:sz w:val="24"/>
              </w:rPr>
              <w:t>文件供应商须知正文第9条要求</w:t>
            </w:r>
          </w:p>
        </w:tc>
        <w:tc>
          <w:tcPr>
            <w:tcW w:w="1085" w:type="pct"/>
            <w:vAlign w:val="center"/>
          </w:tcPr>
          <w:p w14:paraId="2FCC9949">
            <w:pPr>
              <w:adjustRightInd w:val="0"/>
              <w:snapToGrid w:val="0"/>
              <w:spacing w:line="360" w:lineRule="auto"/>
              <w:ind w:right="-10"/>
              <w:jc w:val="center"/>
              <w:rPr>
                <w:rFonts w:ascii="宋体" w:hAnsi="宋体" w:eastAsia="宋体" w:cs="宋体"/>
                <w:sz w:val="24"/>
                <w:szCs w:val="24"/>
              </w:rPr>
            </w:pPr>
            <w:r>
              <w:rPr>
                <w:rFonts w:hint="eastAsia" w:asciiTheme="minorEastAsia" w:hAnsiTheme="minorEastAsia" w:eastAsiaTheme="minorEastAsia"/>
                <w:sz w:val="24"/>
              </w:rPr>
              <w:t>详见第六章响应文件格式。</w:t>
            </w:r>
          </w:p>
        </w:tc>
      </w:tr>
      <w:tr w14:paraId="6ACB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7BD6418C">
            <w:pPr>
              <w:adjustRightInd w:val="0"/>
              <w:snapToGrid w:val="0"/>
              <w:spacing w:line="360" w:lineRule="auto"/>
              <w:ind w:right="-10"/>
              <w:jc w:val="center"/>
              <w:rPr>
                <w:rFonts w:ascii="宋体" w:hAnsi="宋体" w:eastAsia="宋体"/>
                <w:sz w:val="24"/>
              </w:rPr>
            </w:pPr>
            <w:r>
              <w:rPr>
                <w:rFonts w:hint="eastAsia" w:asciiTheme="minorEastAsia" w:hAnsiTheme="minorEastAsia" w:eastAsiaTheme="minorEastAsia"/>
                <w:sz w:val="24"/>
              </w:rPr>
              <w:t>8</w:t>
            </w:r>
          </w:p>
        </w:tc>
        <w:tc>
          <w:tcPr>
            <w:tcW w:w="942" w:type="pct"/>
            <w:vAlign w:val="center"/>
          </w:tcPr>
          <w:p w14:paraId="496FCCDD">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技术响应情况</w:t>
            </w:r>
          </w:p>
        </w:tc>
        <w:tc>
          <w:tcPr>
            <w:tcW w:w="2600" w:type="pct"/>
            <w:vAlign w:val="center"/>
          </w:tcPr>
          <w:p w14:paraId="5ED0DFE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符合磋商文件采购需求中货物技术参数等实质性要求</w:t>
            </w:r>
          </w:p>
        </w:tc>
        <w:tc>
          <w:tcPr>
            <w:tcW w:w="1085" w:type="pct"/>
            <w:vAlign w:val="center"/>
          </w:tcPr>
          <w:p w14:paraId="0649A989">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详见第六章响应文件格式。</w:t>
            </w:r>
          </w:p>
        </w:tc>
      </w:tr>
      <w:tr w14:paraId="5295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015039DC">
            <w:pPr>
              <w:adjustRightInd w:val="0"/>
              <w:snapToGrid w:val="0"/>
              <w:spacing w:line="360" w:lineRule="auto"/>
              <w:ind w:right="-10"/>
              <w:jc w:val="center"/>
              <w:rPr>
                <w:rFonts w:ascii="宋体" w:hAnsi="宋体" w:eastAsia="宋体"/>
                <w:sz w:val="24"/>
              </w:rPr>
            </w:pPr>
            <w:r>
              <w:rPr>
                <w:rFonts w:hint="eastAsia" w:asciiTheme="minorEastAsia" w:hAnsiTheme="minorEastAsia" w:eastAsiaTheme="minorEastAsia"/>
                <w:sz w:val="24"/>
              </w:rPr>
              <w:t>9</w:t>
            </w:r>
          </w:p>
        </w:tc>
        <w:tc>
          <w:tcPr>
            <w:tcW w:w="942" w:type="pct"/>
            <w:vAlign w:val="center"/>
          </w:tcPr>
          <w:p w14:paraId="3B26A4D8">
            <w:pPr>
              <w:spacing w:after="50" w:line="360" w:lineRule="auto"/>
              <w:ind w:right="-10"/>
              <w:jc w:val="center"/>
              <w:rPr>
                <w:rFonts w:ascii="宋体" w:hAnsi="宋体" w:eastAsia="宋体" w:cs="宋体"/>
                <w:spacing w:val="10"/>
                <w:sz w:val="24"/>
                <w:szCs w:val="24"/>
              </w:rPr>
            </w:pPr>
            <w:r>
              <w:rPr>
                <w:rFonts w:hint="eastAsia" w:asciiTheme="minorEastAsia" w:hAnsiTheme="minorEastAsia" w:eastAsiaTheme="minorEastAsia"/>
                <w:sz w:val="24"/>
                <w:szCs w:val="28"/>
              </w:rPr>
              <w:t>商务响应情况</w:t>
            </w:r>
          </w:p>
        </w:tc>
        <w:tc>
          <w:tcPr>
            <w:tcW w:w="2600" w:type="pct"/>
            <w:vAlign w:val="center"/>
          </w:tcPr>
          <w:p w14:paraId="42DC0AA8">
            <w:pPr>
              <w:spacing w:after="50" w:line="360" w:lineRule="auto"/>
              <w:ind w:right="-10"/>
              <w:jc w:val="center"/>
              <w:rPr>
                <w:rFonts w:ascii="宋体" w:hAnsi="宋体" w:eastAsia="宋体" w:cs="宋体"/>
                <w:spacing w:val="10"/>
                <w:sz w:val="24"/>
                <w:szCs w:val="24"/>
              </w:rPr>
            </w:pPr>
            <w:r>
              <w:rPr>
                <w:rFonts w:hint="eastAsia" w:asciiTheme="minorEastAsia" w:hAnsiTheme="minorEastAsia" w:eastAsiaTheme="minorEastAsia"/>
                <w:sz w:val="24"/>
                <w:szCs w:val="28"/>
              </w:rPr>
              <w:t>符合</w:t>
            </w:r>
            <w:r>
              <w:rPr>
                <w:rFonts w:hint="eastAsia" w:ascii="宋体" w:hAnsi="宋体" w:eastAsia="宋体" w:cs="宋体"/>
                <w:spacing w:val="10"/>
                <w:sz w:val="24"/>
                <w:szCs w:val="24"/>
              </w:rPr>
              <w:t>磋商</w:t>
            </w:r>
            <w:r>
              <w:rPr>
                <w:rFonts w:hint="eastAsia" w:asciiTheme="minorEastAsia" w:hAnsiTheme="minorEastAsia" w:eastAsiaTheme="minorEastAsia"/>
                <w:sz w:val="24"/>
                <w:szCs w:val="28"/>
              </w:rPr>
              <w:t>文件采购需求中对付款方式、服务地点、服务期限等实质性要求</w:t>
            </w:r>
          </w:p>
        </w:tc>
        <w:tc>
          <w:tcPr>
            <w:tcW w:w="1085" w:type="pct"/>
            <w:vAlign w:val="center"/>
          </w:tcPr>
          <w:p w14:paraId="629F64AF">
            <w:pPr>
              <w:adjustRightInd w:val="0"/>
              <w:snapToGrid w:val="0"/>
              <w:spacing w:line="360" w:lineRule="auto"/>
              <w:ind w:right="-10"/>
              <w:jc w:val="center"/>
              <w:rPr>
                <w:rFonts w:ascii="宋体" w:hAnsi="宋体" w:eastAsia="宋体" w:cs="宋体"/>
                <w:sz w:val="24"/>
                <w:szCs w:val="24"/>
              </w:rPr>
            </w:pPr>
            <w:r>
              <w:rPr>
                <w:rFonts w:hint="eastAsia" w:asciiTheme="minorEastAsia" w:hAnsiTheme="minorEastAsia" w:eastAsiaTheme="minorEastAsia"/>
                <w:sz w:val="24"/>
              </w:rPr>
              <w:t>详见第六章响应文件格式。</w:t>
            </w:r>
          </w:p>
        </w:tc>
      </w:tr>
      <w:tr w14:paraId="16DB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0E2CDF56">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942" w:type="pct"/>
            <w:vAlign w:val="center"/>
          </w:tcPr>
          <w:p w14:paraId="48C20EB9">
            <w:pPr>
              <w:spacing w:after="50" w:line="360" w:lineRule="auto"/>
              <w:ind w:right="-10"/>
              <w:jc w:val="center"/>
              <w:rPr>
                <w:rFonts w:ascii="宋体" w:hAnsi="宋体" w:eastAsia="宋体" w:cs="宋体"/>
                <w:spacing w:val="10"/>
                <w:sz w:val="24"/>
                <w:szCs w:val="24"/>
              </w:rPr>
            </w:pPr>
            <w:r>
              <w:rPr>
                <w:rFonts w:hint="eastAsia" w:asciiTheme="minorEastAsia" w:hAnsiTheme="minorEastAsia" w:eastAsiaTheme="minorEastAsia"/>
                <w:sz w:val="24"/>
                <w:szCs w:val="28"/>
              </w:rPr>
              <w:t>其他要求</w:t>
            </w:r>
          </w:p>
        </w:tc>
        <w:tc>
          <w:tcPr>
            <w:tcW w:w="2600" w:type="pct"/>
            <w:vAlign w:val="center"/>
          </w:tcPr>
          <w:p w14:paraId="0943E226">
            <w:pPr>
              <w:spacing w:after="50" w:line="360" w:lineRule="auto"/>
              <w:ind w:right="-10"/>
              <w:jc w:val="center"/>
              <w:rPr>
                <w:rFonts w:ascii="宋体" w:hAnsi="宋体" w:eastAsia="宋体" w:cs="宋体"/>
                <w:spacing w:val="10"/>
                <w:sz w:val="24"/>
                <w:szCs w:val="24"/>
              </w:rPr>
            </w:pPr>
            <w:r>
              <w:rPr>
                <w:rFonts w:hint="eastAsia" w:asciiTheme="minorEastAsia" w:hAnsiTheme="minorEastAsia" w:eastAsiaTheme="minorEastAsia"/>
                <w:sz w:val="24"/>
                <w:szCs w:val="28"/>
              </w:rPr>
              <w:t>符合法律、行政法规规定的其他条件或磋商文件列明的其他实质性要求</w:t>
            </w:r>
          </w:p>
        </w:tc>
        <w:tc>
          <w:tcPr>
            <w:tcW w:w="1085" w:type="pct"/>
            <w:vAlign w:val="center"/>
          </w:tcPr>
          <w:p w14:paraId="63CABC19">
            <w:pPr>
              <w:adjustRightInd w:val="0"/>
              <w:snapToGrid w:val="0"/>
              <w:spacing w:line="360" w:lineRule="auto"/>
              <w:ind w:right="-10"/>
              <w:jc w:val="center"/>
              <w:rPr>
                <w:rFonts w:ascii="宋体" w:hAnsi="宋体" w:eastAsia="宋体" w:cs="宋体"/>
                <w:sz w:val="24"/>
                <w:szCs w:val="24"/>
              </w:rPr>
            </w:pPr>
          </w:p>
        </w:tc>
      </w:tr>
    </w:tbl>
    <w:p w14:paraId="2AED941E">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初审指标通过标准：</w:t>
      </w:r>
      <w:r>
        <w:rPr>
          <w:rFonts w:hint="eastAsia" w:asciiTheme="minorEastAsia" w:hAnsiTheme="minorEastAsia" w:eastAsiaTheme="minorEastAsia"/>
          <w:sz w:val="24"/>
        </w:rPr>
        <w:t>供应商必须通过初审表中的全部评审指标。</w:t>
      </w:r>
    </w:p>
    <w:p w14:paraId="6388ED1B">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2.2综合评分</w:t>
      </w:r>
    </w:p>
    <w:p w14:paraId="15204E3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磋商小组按照下表对</w:t>
      </w:r>
      <w:r>
        <w:rPr>
          <w:rFonts w:hint="eastAsia" w:ascii="宋体" w:hAnsi="宋体" w:eastAsia="宋体"/>
          <w:sz w:val="24"/>
        </w:rPr>
        <w:t>进入综合评分的所有供应商的</w:t>
      </w:r>
      <w:r>
        <w:rPr>
          <w:rFonts w:hint="eastAsia" w:asciiTheme="minorEastAsia" w:hAnsiTheme="minorEastAsia" w:eastAsiaTheme="minorEastAsia"/>
          <w:sz w:val="24"/>
        </w:rPr>
        <w:t>响应文件进行综合</w:t>
      </w:r>
      <w:r>
        <w:rPr>
          <w:rFonts w:hint="eastAsia" w:asciiTheme="minorEastAsia" w:hAnsiTheme="minorEastAsia" w:eastAsiaTheme="minorEastAsia"/>
          <w:sz w:val="24"/>
          <w:highlight w:val="none"/>
        </w:rPr>
        <w:t>评分。</w:t>
      </w:r>
    </w:p>
    <w:p w14:paraId="5BA50EF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本项目综合评分满分为1</w:t>
      </w:r>
      <w:r>
        <w:rPr>
          <w:rFonts w:asciiTheme="minorEastAsia" w:hAnsiTheme="minorEastAsia" w:eastAsiaTheme="minorEastAsia"/>
          <w:sz w:val="24"/>
          <w:highlight w:val="none"/>
        </w:rPr>
        <w:t>00</w:t>
      </w:r>
      <w:r>
        <w:rPr>
          <w:rFonts w:hint="eastAsia" w:asciiTheme="minorEastAsia" w:hAnsiTheme="minorEastAsia" w:eastAsiaTheme="minorEastAsia"/>
          <w:sz w:val="24"/>
          <w:highlight w:val="none"/>
        </w:rPr>
        <w:t>分，其中：技术资信分值占总分值的权重为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70</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%，价格分值占总分值的权重为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3</w:t>
      </w:r>
      <w:r>
        <w:rPr>
          <w:rFonts w:asciiTheme="minorEastAsia" w:hAnsiTheme="minorEastAsia" w:eastAsiaTheme="minorEastAsia"/>
          <w:sz w:val="24"/>
          <w:highlight w:val="none"/>
          <w:u w:val="single"/>
        </w:rPr>
        <w:t xml:space="preserve">0  </w:t>
      </w:r>
      <w:r>
        <w:rPr>
          <w:rFonts w:asciiTheme="minorEastAsia" w:hAnsiTheme="minorEastAsia" w:eastAsiaTheme="minorEastAsia"/>
          <w:sz w:val="24"/>
          <w:highlight w:val="none"/>
        </w:rPr>
        <w:t>%。具体评分细则如</w:t>
      </w:r>
      <w:r>
        <w:rPr>
          <w:rFonts w:asciiTheme="minorEastAsia" w:hAnsiTheme="minorEastAsia" w:eastAsiaTheme="minorEastAsia"/>
          <w:sz w:val="24"/>
        </w:rPr>
        <w:t>下：</w:t>
      </w:r>
    </w:p>
    <w:p w14:paraId="072F89C2">
      <w:pPr>
        <w:pStyle w:val="43"/>
        <w:ind w:firstLine="480"/>
      </w:pPr>
    </w:p>
    <w:tbl>
      <w:tblPr>
        <w:tblStyle w:val="27"/>
        <w:tblW w:w="55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350"/>
        <w:gridCol w:w="4985"/>
        <w:gridCol w:w="1700"/>
      </w:tblGrid>
      <w:tr w14:paraId="000E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75" w:type="pct"/>
            <w:tcBorders>
              <w:top w:val="single" w:color="auto" w:sz="4" w:space="0"/>
              <w:left w:val="single" w:color="auto" w:sz="4" w:space="0"/>
              <w:bottom w:val="single" w:color="auto" w:sz="4" w:space="0"/>
              <w:right w:val="single" w:color="auto" w:sz="4" w:space="0"/>
            </w:tcBorders>
            <w:vAlign w:val="center"/>
          </w:tcPr>
          <w:p w14:paraId="603E476D">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类别</w:t>
            </w:r>
          </w:p>
        </w:tc>
        <w:tc>
          <w:tcPr>
            <w:tcW w:w="710" w:type="pct"/>
            <w:tcBorders>
              <w:top w:val="single" w:color="auto" w:sz="4" w:space="0"/>
              <w:left w:val="single" w:color="auto" w:sz="4" w:space="0"/>
              <w:bottom w:val="single" w:color="auto" w:sz="4" w:space="0"/>
              <w:right w:val="single" w:color="auto" w:sz="4" w:space="0"/>
            </w:tcBorders>
            <w:vAlign w:val="center"/>
          </w:tcPr>
          <w:p w14:paraId="2D0F4A99">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评分内容</w:t>
            </w:r>
          </w:p>
        </w:tc>
        <w:tc>
          <w:tcPr>
            <w:tcW w:w="2621" w:type="pct"/>
            <w:tcBorders>
              <w:top w:val="single" w:color="auto" w:sz="4" w:space="0"/>
              <w:left w:val="single" w:color="auto" w:sz="4" w:space="0"/>
              <w:bottom w:val="single" w:color="auto" w:sz="4" w:space="0"/>
              <w:right w:val="single" w:color="auto" w:sz="4" w:space="0"/>
            </w:tcBorders>
            <w:vAlign w:val="center"/>
          </w:tcPr>
          <w:p w14:paraId="3C162D94">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评分标准</w:t>
            </w:r>
          </w:p>
        </w:tc>
        <w:tc>
          <w:tcPr>
            <w:tcW w:w="894" w:type="pct"/>
            <w:tcBorders>
              <w:top w:val="single" w:color="auto" w:sz="4" w:space="0"/>
              <w:left w:val="single" w:color="auto" w:sz="4" w:space="0"/>
              <w:bottom w:val="single" w:color="auto" w:sz="4" w:space="0"/>
              <w:right w:val="single" w:color="auto" w:sz="4" w:space="0"/>
            </w:tcBorders>
            <w:vAlign w:val="center"/>
          </w:tcPr>
          <w:p w14:paraId="68958CAB">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分值范围</w:t>
            </w:r>
          </w:p>
        </w:tc>
      </w:tr>
      <w:tr w14:paraId="5910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pct"/>
            <w:vMerge w:val="restart"/>
            <w:tcBorders>
              <w:top w:val="single" w:color="auto" w:sz="4" w:space="0"/>
              <w:left w:val="single" w:color="auto" w:sz="4" w:space="0"/>
              <w:right w:val="single" w:color="auto" w:sz="4" w:space="0"/>
            </w:tcBorders>
            <w:vAlign w:val="center"/>
          </w:tcPr>
          <w:p w14:paraId="0A0DC188">
            <w:pPr>
              <w:spacing w:line="360" w:lineRule="auto"/>
              <w:jc w:val="center"/>
              <w:rPr>
                <w:rFonts w:ascii="宋体" w:hAnsi="宋体" w:eastAsia="宋体" w:cs="宋体"/>
                <w:sz w:val="24"/>
                <w:szCs w:val="24"/>
              </w:rPr>
            </w:pPr>
            <w:r>
              <w:rPr>
                <w:rFonts w:hint="eastAsia" w:ascii="宋体" w:hAnsi="宋体" w:eastAsia="宋体" w:cs="宋体"/>
                <w:sz w:val="24"/>
                <w:szCs w:val="24"/>
              </w:rPr>
              <w:t>技术和资信分</w:t>
            </w:r>
          </w:p>
          <w:p w14:paraId="5521738B">
            <w:pPr>
              <w:spacing w:line="360" w:lineRule="auto"/>
              <w:jc w:val="center"/>
              <w:rPr>
                <w:rFonts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70</w:t>
            </w:r>
            <w:r>
              <w:rPr>
                <w:rFonts w:hint="eastAsia" w:ascii="宋体" w:hAnsi="宋体" w:eastAsia="宋体" w:cs="宋体"/>
                <w:sz w:val="24"/>
                <w:szCs w:val="24"/>
              </w:rPr>
              <w:t>分）</w:t>
            </w:r>
          </w:p>
        </w:tc>
        <w:tc>
          <w:tcPr>
            <w:tcW w:w="710" w:type="pct"/>
            <w:tcBorders>
              <w:top w:val="single" w:color="auto" w:sz="4" w:space="0"/>
              <w:left w:val="single" w:color="auto" w:sz="4" w:space="0"/>
              <w:bottom w:val="single" w:color="auto" w:sz="4" w:space="0"/>
              <w:right w:val="single" w:color="auto" w:sz="4" w:space="0"/>
            </w:tcBorders>
            <w:vAlign w:val="center"/>
          </w:tcPr>
          <w:p w14:paraId="29377D1F">
            <w:pPr>
              <w:spacing w:line="360" w:lineRule="auto"/>
              <w:jc w:val="center"/>
              <w:rPr>
                <w:rFonts w:ascii="宋体" w:hAnsi="宋体" w:eastAsia="宋体" w:cs="宋体"/>
                <w:bCs/>
                <w:sz w:val="24"/>
                <w:szCs w:val="24"/>
              </w:rPr>
            </w:pPr>
            <w:r>
              <w:rPr>
                <w:rFonts w:hint="eastAsia" w:ascii="宋体" w:hAnsi="宋体" w:eastAsia="宋体" w:cs="宋体"/>
                <w:sz w:val="24"/>
                <w:szCs w:val="24"/>
              </w:rPr>
              <w:t>供应商业绩</w:t>
            </w:r>
          </w:p>
        </w:tc>
        <w:tc>
          <w:tcPr>
            <w:tcW w:w="2621" w:type="pct"/>
            <w:tcBorders>
              <w:top w:val="single" w:color="auto" w:sz="4" w:space="0"/>
              <w:left w:val="single" w:color="auto" w:sz="4" w:space="0"/>
              <w:bottom w:val="single" w:color="auto" w:sz="4" w:space="0"/>
              <w:right w:val="single" w:color="auto" w:sz="4" w:space="0"/>
            </w:tcBorders>
            <w:vAlign w:val="center"/>
          </w:tcPr>
          <w:p w14:paraId="4F3C342D">
            <w:pPr>
              <w:spacing w:line="360" w:lineRule="auto"/>
              <w:rPr>
                <w:rFonts w:ascii="宋体" w:hAnsi="宋体" w:eastAsia="宋体" w:cs="宋体"/>
                <w:sz w:val="24"/>
                <w:szCs w:val="24"/>
              </w:rPr>
            </w:pPr>
            <w:r>
              <w:rPr>
                <w:rFonts w:hint="eastAsia" w:ascii="宋体" w:hAnsi="宋体" w:eastAsia="宋体" w:cs="宋体"/>
                <w:sz w:val="24"/>
                <w:szCs w:val="24"/>
              </w:rPr>
              <w:t>2021年1月1日至今（以合同签署日期为准）供应商具有同类项目业绩（包含但不限于：科普类陈列布展、展馆设计施工等）。每提供一项业绩得2分，最高得4分。</w:t>
            </w:r>
          </w:p>
          <w:p w14:paraId="0852F6E6">
            <w:pPr>
              <w:spacing w:line="360" w:lineRule="auto"/>
              <w:rPr>
                <w:rFonts w:ascii="宋体" w:hAnsi="宋体" w:eastAsia="宋体" w:cs="宋体"/>
                <w:sz w:val="24"/>
                <w:szCs w:val="24"/>
              </w:rPr>
            </w:pPr>
            <w:r>
              <w:rPr>
                <w:rFonts w:hint="eastAsia" w:ascii="宋体" w:hAnsi="宋体" w:eastAsia="宋体" w:cs="宋体"/>
                <w:b/>
                <w:bCs/>
                <w:sz w:val="24"/>
                <w:szCs w:val="24"/>
              </w:rPr>
              <w:t>注：提供合同原件扫描件，若上述材料中无法体现项目类型等评审内容时，须同时提供业主单位（合同甲方）出具的相关证明材料加以明确说明。</w:t>
            </w:r>
          </w:p>
        </w:tc>
        <w:tc>
          <w:tcPr>
            <w:tcW w:w="894" w:type="pct"/>
            <w:tcBorders>
              <w:top w:val="single" w:color="auto" w:sz="4" w:space="0"/>
              <w:left w:val="single" w:color="auto" w:sz="4" w:space="0"/>
              <w:bottom w:val="single" w:color="auto" w:sz="4" w:space="0"/>
              <w:right w:val="single" w:color="auto" w:sz="4" w:space="0"/>
            </w:tcBorders>
            <w:vAlign w:val="center"/>
          </w:tcPr>
          <w:p w14:paraId="22919F2F">
            <w:pPr>
              <w:spacing w:line="360" w:lineRule="auto"/>
              <w:jc w:val="center"/>
              <w:rPr>
                <w:rFonts w:ascii="宋体" w:hAnsi="宋体" w:eastAsia="宋体" w:cs="宋体"/>
                <w:b/>
                <w:bCs/>
                <w:sz w:val="24"/>
                <w:szCs w:val="24"/>
              </w:rPr>
            </w:pPr>
            <w:r>
              <w:rPr>
                <w:rFonts w:ascii="宋体" w:hAnsi="宋体" w:eastAsia="宋体" w:cs="宋体"/>
                <w:b/>
                <w:bCs/>
                <w:sz w:val="24"/>
                <w:szCs w:val="24"/>
              </w:rPr>
              <w:t>0-</w:t>
            </w:r>
            <w:r>
              <w:rPr>
                <w:rFonts w:hint="eastAsia" w:ascii="宋体" w:hAnsi="宋体" w:eastAsia="宋体" w:cs="宋体"/>
                <w:b/>
                <w:bCs/>
                <w:sz w:val="24"/>
                <w:szCs w:val="24"/>
              </w:rPr>
              <w:t>4分</w:t>
            </w:r>
          </w:p>
        </w:tc>
      </w:tr>
      <w:tr w14:paraId="5F09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pct"/>
            <w:vMerge w:val="continue"/>
            <w:tcBorders>
              <w:left w:val="single" w:color="auto" w:sz="4" w:space="0"/>
              <w:right w:val="single" w:color="auto" w:sz="4" w:space="0"/>
            </w:tcBorders>
            <w:vAlign w:val="center"/>
          </w:tcPr>
          <w:p w14:paraId="49B7FA31">
            <w:pPr>
              <w:spacing w:line="360" w:lineRule="auto"/>
              <w:ind w:firstLine="435"/>
              <w:jc w:val="center"/>
              <w:rPr>
                <w:rFonts w:ascii="宋体" w:hAnsi="宋体" w:eastAsia="宋体" w:cs="宋体"/>
                <w:b/>
                <w:bCs/>
                <w:sz w:val="24"/>
                <w:szCs w:val="24"/>
              </w:rPr>
            </w:pPr>
          </w:p>
        </w:tc>
        <w:tc>
          <w:tcPr>
            <w:tcW w:w="710" w:type="pct"/>
            <w:tcBorders>
              <w:top w:val="single" w:color="auto" w:sz="4" w:space="0"/>
              <w:left w:val="single" w:color="auto" w:sz="4" w:space="0"/>
              <w:bottom w:val="single" w:color="auto" w:sz="4" w:space="0"/>
              <w:right w:val="single" w:color="auto" w:sz="4" w:space="0"/>
            </w:tcBorders>
            <w:vAlign w:val="center"/>
          </w:tcPr>
          <w:p w14:paraId="31341619">
            <w:pPr>
              <w:spacing w:line="360" w:lineRule="auto"/>
              <w:jc w:val="center"/>
              <w:rPr>
                <w:rFonts w:ascii="宋体" w:hAnsi="宋体" w:eastAsia="宋体" w:cs="宋体"/>
                <w:sz w:val="24"/>
                <w:szCs w:val="24"/>
              </w:rPr>
            </w:pPr>
            <w:r>
              <w:rPr>
                <w:rFonts w:ascii="宋体" w:hAnsi="宋体" w:eastAsia="宋体" w:cs="宋体"/>
                <w:sz w:val="24"/>
                <w:szCs w:val="24"/>
              </w:rPr>
              <w:t>拟投入本项目的技术团队专业水平</w:t>
            </w:r>
          </w:p>
        </w:tc>
        <w:tc>
          <w:tcPr>
            <w:tcW w:w="2621" w:type="pct"/>
            <w:tcBorders>
              <w:top w:val="single" w:color="auto" w:sz="4" w:space="0"/>
              <w:left w:val="single" w:color="auto" w:sz="4" w:space="0"/>
              <w:bottom w:val="single" w:color="auto" w:sz="4" w:space="0"/>
              <w:right w:val="single" w:color="auto" w:sz="4" w:space="0"/>
            </w:tcBorders>
            <w:vAlign w:val="center"/>
          </w:tcPr>
          <w:p w14:paraId="67322B00">
            <w:pPr>
              <w:spacing w:line="360" w:lineRule="auto"/>
              <w:rPr>
                <w:rFonts w:ascii="宋体" w:hAnsi="宋体" w:eastAsia="宋体" w:cs="宋体"/>
                <w:sz w:val="24"/>
                <w:szCs w:val="24"/>
              </w:rPr>
            </w:pPr>
            <w:r>
              <w:rPr>
                <w:rFonts w:hint="eastAsia" w:ascii="宋体" w:hAnsi="宋体" w:eastAsia="宋体" w:cs="宋体"/>
                <w:sz w:val="24"/>
                <w:szCs w:val="24"/>
              </w:rPr>
              <w:t>(1)拟派本项目的项目负责人具备以下能力： ①</w:t>
            </w:r>
            <w:r>
              <w:rPr>
                <w:rFonts w:hint="eastAsia" w:ascii="宋体" w:hAnsi="宋体" w:eastAsia="宋体" w:cs="宋体"/>
                <w:sz w:val="24"/>
                <w:szCs w:val="24"/>
                <w:lang w:val="zh-TW"/>
              </w:rPr>
              <w:t>具有项目管理认证PMP及以上资质的得</w:t>
            </w:r>
            <w:r>
              <w:rPr>
                <w:rFonts w:hint="eastAsia" w:ascii="宋体" w:hAnsi="宋体" w:eastAsia="宋体" w:cs="宋体"/>
                <w:sz w:val="24"/>
                <w:szCs w:val="24"/>
              </w:rPr>
              <w:t>2</w:t>
            </w:r>
            <w:r>
              <w:rPr>
                <w:rFonts w:hint="eastAsia" w:ascii="宋体" w:hAnsi="宋体" w:eastAsia="宋体" w:cs="宋体"/>
                <w:sz w:val="24"/>
                <w:szCs w:val="24"/>
                <w:lang w:val="zh-TW"/>
              </w:rPr>
              <w:t>分。</w:t>
            </w:r>
            <w:r>
              <w:rPr>
                <w:rFonts w:hint="eastAsia" w:ascii="宋体" w:hAnsi="宋体" w:eastAsia="宋体" w:cs="宋体"/>
                <w:sz w:val="24"/>
                <w:szCs w:val="24"/>
              </w:rPr>
              <w:t xml:space="preserve"> ②担任本项目的项目负责人完成过同类项目（包含但不限于：科普类陈列布展、展馆设计施工）得 2 分。最高得4分。</w:t>
            </w:r>
          </w:p>
          <w:p w14:paraId="060C92CC">
            <w:pPr>
              <w:spacing w:line="360" w:lineRule="auto"/>
              <w:rPr>
                <w:rFonts w:ascii="宋体" w:hAnsi="宋体" w:eastAsia="宋体" w:cs="宋体"/>
                <w:sz w:val="24"/>
                <w:szCs w:val="24"/>
              </w:rPr>
            </w:pPr>
            <w:r>
              <w:rPr>
                <w:rFonts w:hint="eastAsia" w:ascii="宋体" w:hAnsi="宋体" w:eastAsia="宋体" w:cs="宋体"/>
                <w:sz w:val="24"/>
                <w:szCs w:val="24"/>
              </w:rPr>
              <w:t>(2)拟派本项目的设计人员具备以下能力： ①每提供一名具有科普类或设计类相关专业高级(或以上) 证书得2分，每提供一名具有科普类或设计类相关专业中级证书得</w:t>
            </w:r>
            <w:r>
              <w:rPr>
                <w:rFonts w:ascii="宋体" w:hAnsi="宋体" w:eastAsia="宋体" w:cs="宋体"/>
                <w:sz w:val="24"/>
                <w:szCs w:val="24"/>
              </w:rPr>
              <w:t>1</w:t>
            </w:r>
            <w:r>
              <w:rPr>
                <w:rFonts w:hint="eastAsia" w:ascii="宋体" w:hAnsi="宋体" w:eastAsia="宋体" w:cs="宋体"/>
                <w:sz w:val="24"/>
                <w:szCs w:val="24"/>
              </w:rPr>
              <w:t>分。最高得4分。（同一人具备多个职称不累计，按照最高档计分）。</w:t>
            </w:r>
          </w:p>
          <w:p w14:paraId="735AA1DA">
            <w:pPr>
              <w:spacing w:line="360" w:lineRule="auto"/>
              <w:rPr>
                <w:rFonts w:ascii="宋体" w:hAnsi="宋体" w:eastAsia="宋体" w:cs="宋体"/>
                <w:sz w:val="24"/>
                <w:szCs w:val="24"/>
              </w:rPr>
            </w:pPr>
            <w:r>
              <w:rPr>
                <w:rFonts w:hint="eastAsia" w:ascii="宋体" w:hAnsi="宋体" w:eastAsia="宋体" w:cs="宋体"/>
                <w:sz w:val="24"/>
                <w:szCs w:val="24"/>
              </w:rPr>
              <w:t>(3)特殊工种人员配备：具有有效期内的《电工作业证》、具有有效期内的《焊接与热切割作业证》、具有应急管理部颁发的在有效期内的《高处作业证》，有一项得2分，最高得6分。</w:t>
            </w:r>
          </w:p>
          <w:p w14:paraId="769D42E9">
            <w:pPr>
              <w:spacing w:line="360" w:lineRule="auto"/>
              <w:rPr>
                <w:rFonts w:ascii="宋体" w:hAnsi="宋体" w:eastAsia="宋体" w:cs="宋体"/>
                <w:sz w:val="24"/>
                <w:szCs w:val="24"/>
              </w:rPr>
            </w:pPr>
            <w:r>
              <w:rPr>
                <w:rFonts w:hint="eastAsia" w:ascii="宋体" w:hAnsi="宋体" w:eastAsia="宋体" w:cs="宋体"/>
                <w:b/>
                <w:bCs/>
                <w:sz w:val="24"/>
                <w:szCs w:val="24"/>
              </w:rPr>
              <w:t>注：须持有社保部门出具的本单位为其缴纳的投标前近三个月连续的养老保险证明（证明文件两个月内有效）和以上证书</w:t>
            </w:r>
            <w:r>
              <w:rPr>
                <w:rFonts w:ascii="宋体" w:hAnsi="宋体" w:eastAsia="宋体" w:cs="宋体"/>
                <w:b/>
                <w:bCs/>
                <w:sz w:val="24"/>
                <w:szCs w:val="24"/>
              </w:rPr>
              <w:t>【或提供已为上述人员缴纳养老保险证明的承诺书（格式自拟）】</w:t>
            </w:r>
            <w:r>
              <w:rPr>
                <w:rFonts w:hint="eastAsia" w:ascii="宋体" w:hAnsi="宋体" w:eastAsia="宋体" w:cs="宋体"/>
                <w:b/>
                <w:bCs/>
                <w:sz w:val="24"/>
                <w:szCs w:val="24"/>
              </w:rPr>
              <w:t>，证书、证明材料复印件加盖公章。</w:t>
            </w:r>
          </w:p>
        </w:tc>
        <w:tc>
          <w:tcPr>
            <w:tcW w:w="894" w:type="pct"/>
            <w:tcBorders>
              <w:top w:val="single" w:color="auto" w:sz="4" w:space="0"/>
              <w:left w:val="single" w:color="auto" w:sz="4" w:space="0"/>
              <w:bottom w:val="single" w:color="auto" w:sz="4" w:space="0"/>
              <w:right w:val="single" w:color="auto" w:sz="4" w:space="0"/>
            </w:tcBorders>
            <w:vAlign w:val="center"/>
          </w:tcPr>
          <w:p w14:paraId="5276E985">
            <w:pPr>
              <w:spacing w:line="360" w:lineRule="auto"/>
              <w:jc w:val="center"/>
              <w:rPr>
                <w:rFonts w:ascii="宋体" w:hAnsi="宋体" w:eastAsia="宋体" w:cs="宋体"/>
                <w:b/>
                <w:bCs/>
                <w:sz w:val="24"/>
                <w:szCs w:val="24"/>
              </w:rPr>
            </w:pPr>
            <w:r>
              <w:rPr>
                <w:rFonts w:ascii="宋体" w:hAnsi="宋体" w:eastAsia="宋体" w:cs="宋体"/>
                <w:b/>
                <w:bCs/>
                <w:sz w:val="24"/>
                <w:szCs w:val="24"/>
              </w:rPr>
              <w:t>0-</w:t>
            </w:r>
            <w:r>
              <w:rPr>
                <w:rFonts w:hint="eastAsia" w:ascii="宋体" w:hAnsi="宋体" w:eastAsia="宋体" w:cs="宋体"/>
                <w:b/>
                <w:bCs/>
                <w:sz w:val="24"/>
                <w:szCs w:val="24"/>
              </w:rPr>
              <w:t>14分</w:t>
            </w:r>
          </w:p>
        </w:tc>
      </w:tr>
      <w:tr w14:paraId="690D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pct"/>
            <w:vMerge w:val="continue"/>
            <w:tcBorders>
              <w:left w:val="single" w:color="auto" w:sz="4" w:space="0"/>
              <w:right w:val="single" w:color="auto" w:sz="4" w:space="0"/>
            </w:tcBorders>
            <w:vAlign w:val="center"/>
          </w:tcPr>
          <w:p w14:paraId="428EA1E5">
            <w:pPr>
              <w:spacing w:line="360" w:lineRule="auto"/>
              <w:ind w:firstLine="435"/>
              <w:jc w:val="center"/>
              <w:rPr>
                <w:rFonts w:ascii="宋体" w:hAnsi="宋体" w:eastAsia="宋体" w:cs="宋体"/>
                <w:b/>
                <w:bCs/>
                <w:sz w:val="24"/>
                <w:szCs w:val="24"/>
              </w:rPr>
            </w:pPr>
          </w:p>
        </w:tc>
        <w:tc>
          <w:tcPr>
            <w:tcW w:w="710" w:type="pct"/>
            <w:tcBorders>
              <w:top w:val="single" w:color="auto" w:sz="4" w:space="0"/>
              <w:left w:val="single" w:color="auto" w:sz="4" w:space="0"/>
              <w:bottom w:val="single" w:color="auto" w:sz="4" w:space="0"/>
              <w:right w:val="single" w:color="auto" w:sz="4" w:space="0"/>
            </w:tcBorders>
            <w:vAlign w:val="center"/>
          </w:tcPr>
          <w:p w14:paraId="67A5DDCC">
            <w:pPr>
              <w:spacing w:line="360" w:lineRule="auto"/>
              <w:jc w:val="center"/>
              <w:rPr>
                <w:rFonts w:ascii="宋体" w:hAnsi="宋体" w:eastAsia="宋体" w:cs="宋体"/>
                <w:sz w:val="24"/>
                <w:szCs w:val="24"/>
              </w:rPr>
            </w:pPr>
            <w:r>
              <w:rPr>
                <w:rFonts w:hint="eastAsia" w:ascii="宋体" w:hAnsi="宋体" w:eastAsia="宋体" w:cs="宋体"/>
                <w:sz w:val="24"/>
                <w:szCs w:val="24"/>
              </w:rPr>
              <w:t>专利或著作权证书</w:t>
            </w:r>
          </w:p>
        </w:tc>
        <w:tc>
          <w:tcPr>
            <w:tcW w:w="2621" w:type="pct"/>
            <w:tcBorders>
              <w:top w:val="single" w:color="auto" w:sz="4" w:space="0"/>
              <w:left w:val="single" w:color="auto" w:sz="4" w:space="0"/>
              <w:bottom w:val="single" w:color="auto" w:sz="4" w:space="0"/>
              <w:right w:val="single" w:color="auto" w:sz="4" w:space="0"/>
            </w:tcBorders>
            <w:vAlign w:val="center"/>
          </w:tcPr>
          <w:p w14:paraId="22FD724E">
            <w:pPr>
              <w:spacing w:line="360" w:lineRule="auto"/>
              <w:rPr>
                <w:rFonts w:ascii="宋体" w:hAnsi="宋体" w:eastAsia="宋体" w:cs="宋体"/>
                <w:sz w:val="24"/>
                <w:szCs w:val="24"/>
              </w:rPr>
            </w:pPr>
            <w:r>
              <w:rPr>
                <w:rFonts w:hint="eastAsia" w:ascii="宋体" w:hAnsi="宋体" w:eastAsia="宋体" w:cs="宋体"/>
                <w:sz w:val="24"/>
                <w:szCs w:val="24"/>
              </w:rPr>
              <w:t>供应商自行研发的科普类展品、展馆类发明专利、实用新型专利的，每提供一项得2分；最高得6分。</w:t>
            </w:r>
          </w:p>
          <w:p w14:paraId="2AA100A9">
            <w:pPr>
              <w:spacing w:line="360" w:lineRule="auto"/>
              <w:rPr>
                <w:rFonts w:ascii="宋体" w:hAnsi="宋体" w:eastAsia="宋体" w:cs="宋体"/>
                <w:sz w:val="24"/>
                <w:szCs w:val="24"/>
              </w:rPr>
            </w:pPr>
            <w:r>
              <w:rPr>
                <w:rFonts w:ascii="宋体" w:hAnsi="宋体" w:eastAsia="宋体" w:cs="宋体"/>
                <w:b/>
                <w:bCs/>
                <w:sz w:val="24"/>
                <w:szCs w:val="24"/>
              </w:rPr>
              <w:t>注：提供有效的认证证书复印件加盖公章。</w:t>
            </w:r>
          </w:p>
        </w:tc>
        <w:tc>
          <w:tcPr>
            <w:tcW w:w="894" w:type="pct"/>
            <w:tcBorders>
              <w:top w:val="single" w:color="auto" w:sz="4" w:space="0"/>
              <w:left w:val="single" w:color="auto" w:sz="4" w:space="0"/>
              <w:bottom w:val="single" w:color="auto" w:sz="4" w:space="0"/>
              <w:right w:val="single" w:color="auto" w:sz="4" w:space="0"/>
            </w:tcBorders>
            <w:vAlign w:val="center"/>
          </w:tcPr>
          <w:p w14:paraId="7EF4F380">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w:t>
            </w:r>
            <w:r>
              <w:rPr>
                <w:rFonts w:ascii="宋体" w:hAnsi="宋体" w:eastAsia="宋体" w:cs="宋体"/>
                <w:b/>
                <w:bCs/>
                <w:sz w:val="24"/>
                <w:szCs w:val="24"/>
              </w:rPr>
              <w:t>-</w:t>
            </w:r>
            <w:r>
              <w:rPr>
                <w:rFonts w:hint="eastAsia" w:ascii="宋体" w:hAnsi="宋体" w:eastAsia="宋体" w:cs="宋体"/>
                <w:b/>
                <w:bCs/>
                <w:sz w:val="24"/>
                <w:szCs w:val="24"/>
              </w:rPr>
              <w:t>6分</w:t>
            </w:r>
          </w:p>
        </w:tc>
      </w:tr>
      <w:tr w14:paraId="3CE7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pct"/>
            <w:vMerge w:val="continue"/>
            <w:tcBorders>
              <w:left w:val="single" w:color="auto" w:sz="4" w:space="0"/>
              <w:right w:val="single" w:color="auto" w:sz="4" w:space="0"/>
            </w:tcBorders>
            <w:vAlign w:val="center"/>
          </w:tcPr>
          <w:p w14:paraId="004B549E">
            <w:pPr>
              <w:spacing w:line="360" w:lineRule="auto"/>
              <w:ind w:firstLine="435"/>
              <w:jc w:val="center"/>
              <w:rPr>
                <w:rFonts w:ascii="宋体" w:hAnsi="宋体" w:eastAsia="宋体" w:cs="宋体"/>
                <w:b/>
                <w:bCs/>
                <w:sz w:val="24"/>
                <w:szCs w:val="24"/>
              </w:rPr>
            </w:pPr>
          </w:p>
        </w:tc>
        <w:tc>
          <w:tcPr>
            <w:tcW w:w="710" w:type="pct"/>
            <w:tcBorders>
              <w:top w:val="single" w:color="auto" w:sz="4" w:space="0"/>
              <w:left w:val="single" w:color="auto" w:sz="4" w:space="0"/>
              <w:bottom w:val="single" w:color="auto" w:sz="4" w:space="0"/>
              <w:right w:val="single" w:color="auto" w:sz="4" w:space="0"/>
            </w:tcBorders>
            <w:vAlign w:val="center"/>
          </w:tcPr>
          <w:p w14:paraId="7A987265">
            <w:pPr>
              <w:spacing w:line="360" w:lineRule="auto"/>
              <w:jc w:val="center"/>
              <w:rPr>
                <w:rFonts w:ascii="宋体" w:hAnsi="宋体" w:eastAsia="宋体" w:cs="宋体"/>
                <w:sz w:val="24"/>
                <w:szCs w:val="24"/>
              </w:rPr>
            </w:pPr>
            <w:r>
              <w:rPr>
                <w:rFonts w:hint="eastAsia" w:ascii="宋体" w:hAnsi="宋体" w:eastAsia="宋体" w:cs="宋体"/>
                <w:sz w:val="24"/>
                <w:szCs w:val="24"/>
              </w:rPr>
              <w:t>资质证书</w:t>
            </w:r>
          </w:p>
        </w:tc>
        <w:tc>
          <w:tcPr>
            <w:tcW w:w="2621" w:type="pct"/>
            <w:tcBorders>
              <w:top w:val="single" w:color="auto" w:sz="4" w:space="0"/>
              <w:left w:val="single" w:color="auto" w:sz="4" w:space="0"/>
              <w:bottom w:val="single" w:color="auto" w:sz="4" w:space="0"/>
              <w:right w:val="single" w:color="auto" w:sz="4" w:space="0"/>
            </w:tcBorders>
            <w:vAlign w:val="center"/>
          </w:tcPr>
          <w:p w14:paraId="4BB060B0">
            <w:pPr>
              <w:spacing w:line="360" w:lineRule="auto"/>
              <w:rPr>
                <w:rFonts w:ascii="宋体" w:hAnsi="宋体" w:eastAsia="宋体" w:cs="宋体"/>
                <w:sz w:val="24"/>
                <w:szCs w:val="24"/>
              </w:rPr>
            </w:pPr>
            <w:r>
              <w:rPr>
                <w:rFonts w:hint="eastAsia" w:ascii="宋体" w:hAnsi="宋体" w:eastAsia="宋体" w:cs="宋体"/>
                <w:sz w:val="24"/>
                <w:szCs w:val="24"/>
              </w:rPr>
              <w:t>供应商具有有效期内的质量管理体系、环境管理体系、职业健康安全管理体系，有一个得2分，最高得6分。（投标文件中需提供提供有效证书复印件及证书在中国国家认证认可监督委员会网站（www.cnca.gov.cn）查询有效的完整网页截图并加盖供应商公章，缺失、不符或不提供者，对应项不得分）</w:t>
            </w:r>
          </w:p>
        </w:tc>
        <w:tc>
          <w:tcPr>
            <w:tcW w:w="894" w:type="pct"/>
            <w:tcBorders>
              <w:top w:val="single" w:color="auto" w:sz="4" w:space="0"/>
              <w:left w:val="single" w:color="auto" w:sz="4" w:space="0"/>
              <w:bottom w:val="single" w:color="auto" w:sz="4" w:space="0"/>
              <w:right w:val="single" w:color="auto" w:sz="4" w:space="0"/>
            </w:tcBorders>
            <w:vAlign w:val="center"/>
          </w:tcPr>
          <w:p w14:paraId="6E08BDED">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w:t>
            </w:r>
            <w:r>
              <w:rPr>
                <w:rFonts w:ascii="宋体" w:hAnsi="宋体" w:eastAsia="宋体" w:cs="宋体"/>
                <w:b/>
                <w:bCs/>
                <w:sz w:val="24"/>
                <w:szCs w:val="24"/>
              </w:rPr>
              <w:t>-</w:t>
            </w:r>
            <w:r>
              <w:rPr>
                <w:rFonts w:hint="eastAsia" w:ascii="宋体" w:hAnsi="宋体" w:eastAsia="宋体" w:cs="宋体"/>
                <w:b/>
                <w:bCs/>
                <w:sz w:val="24"/>
                <w:szCs w:val="24"/>
              </w:rPr>
              <w:t>6分</w:t>
            </w:r>
          </w:p>
        </w:tc>
      </w:tr>
      <w:tr w14:paraId="3BB8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pct"/>
            <w:vMerge w:val="continue"/>
            <w:tcBorders>
              <w:left w:val="single" w:color="auto" w:sz="4" w:space="0"/>
              <w:right w:val="single" w:color="auto" w:sz="4" w:space="0"/>
            </w:tcBorders>
            <w:vAlign w:val="center"/>
          </w:tcPr>
          <w:p w14:paraId="5BE8D2C7">
            <w:pPr>
              <w:spacing w:line="360" w:lineRule="auto"/>
              <w:ind w:firstLine="435"/>
              <w:jc w:val="center"/>
              <w:rPr>
                <w:rFonts w:ascii="宋体" w:hAnsi="宋体" w:eastAsia="宋体" w:cs="宋体"/>
                <w:b/>
                <w:bCs/>
                <w:sz w:val="24"/>
                <w:szCs w:val="24"/>
              </w:rPr>
            </w:pPr>
          </w:p>
        </w:tc>
        <w:tc>
          <w:tcPr>
            <w:tcW w:w="710" w:type="pct"/>
            <w:tcBorders>
              <w:top w:val="single" w:color="auto" w:sz="4" w:space="0"/>
              <w:left w:val="single" w:color="auto" w:sz="4" w:space="0"/>
              <w:bottom w:val="single" w:color="auto" w:sz="4" w:space="0"/>
              <w:right w:val="single" w:color="auto" w:sz="4" w:space="0"/>
            </w:tcBorders>
            <w:vAlign w:val="center"/>
          </w:tcPr>
          <w:p w14:paraId="3D14B042">
            <w:pPr>
              <w:spacing w:line="360" w:lineRule="auto"/>
              <w:jc w:val="center"/>
              <w:rPr>
                <w:rFonts w:ascii="宋体" w:hAnsi="宋体" w:eastAsia="宋体" w:cs="宋体"/>
                <w:sz w:val="24"/>
                <w:szCs w:val="24"/>
              </w:rPr>
            </w:pPr>
            <w:r>
              <w:rPr>
                <w:rFonts w:ascii="宋体" w:hAnsi="宋体" w:eastAsia="宋体" w:cs="宋体"/>
                <w:sz w:val="24"/>
                <w:szCs w:val="24"/>
              </w:rPr>
              <w:t>项目理解</w:t>
            </w:r>
          </w:p>
        </w:tc>
        <w:tc>
          <w:tcPr>
            <w:tcW w:w="2621" w:type="pct"/>
            <w:tcBorders>
              <w:top w:val="single" w:color="auto" w:sz="4" w:space="0"/>
              <w:left w:val="single" w:color="auto" w:sz="4" w:space="0"/>
              <w:bottom w:val="single" w:color="auto" w:sz="4" w:space="0"/>
              <w:right w:val="single" w:color="auto" w:sz="4" w:space="0"/>
            </w:tcBorders>
            <w:vAlign w:val="center"/>
          </w:tcPr>
          <w:p w14:paraId="6B7D845E">
            <w:pPr>
              <w:spacing w:line="360" w:lineRule="auto"/>
              <w:rPr>
                <w:rFonts w:ascii="宋体" w:hAnsi="宋体" w:eastAsia="宋体" w:cs="宋体"/>
                <w:sz w:val="24"/>
                <w:szCs w:val="24"/>
              </w:rPr>
            </w:pPr>
            <w:r>
              <w:rPr>
                <w:rFonts w:hint="eastAsia" w:ascii="宋体" w:hAnsi="宋体" w:eastAsia="宋体" w:cs="宋体"/>
                <w:sz w:val="24"/>
                <w:szCs w:val="24"/>
              </w:rPr>
              <w:t>根据供应商针对本项目理解情况（包括但不限于：各展区安排、物资装备计划、实施计划，布展/撤展方案，展品征集、运输、撤展安排，安全防控措施、应急措施等）进行综合评价：</w:t>
            </w:r>
          </w:p>
          <w:p w14:paraId="5253EB21">
            <w:pPr>
              <w:spacing w:line="360" w:lineRule="auto"/>
              <w:rPr>
                <w:rFonts w:ascii="宋体" w:hAnsi="宋体" w:eastAsia="宋体" w:cs="宋体"/>
                <w:sz w:val="24"/>
                <w:szCs w:val="24"/>
              </w:rPr>
            </w:pPr>
            <w:r>
              <w:rPr>
                <w:rFonts w:hint="eastAsia" w:ascii="宋体" w:hAnsi="宋体" w:eastAsia="宋体" w:cs="宋体"/>
                <w:sz w:val="24"/>
                <w:szCs w:val="24"/>
              </w:rPr>
              <w:t>（1）对项目理解全面，各展区逻辑合理清晰，完全符合本项目的内容内涵，得5分；</w:t>
            </w:r>
          </w:p>
          <w:p w14:paraId="575E08CE">
            <w:pPr>
              <w:spacing w:line="360" w:lineRule="auto"/>
              <w:rPr>
                <w:rFonts w:ascii="宋体" w:hAnsi="宋体" w:eastAsia="宋体" w:cs="宋体"/>
                <w:sz w:val="24"/>
                <w:szCs w:val="24"/>
              </w:rPr>
            </w:pPr>
            <w:r>
              <w:rPr>
                <w:rFonts w:hint="eastAsia" w:ascii="宋体" w:hAnsi="宋体" w:eastAsia="宋体" w:cs="宋体"/>
                <w:sz w:val="24"/>
                <w:szCs w:val="24"/>
              </w:rPr>
              <w:t xml:space="preserve">（2）对项目理解基本准确，内容基本包含，各展区逻辑基本，基本符合本项目的内容内涵，得4分； </w:t>
            </w:r>
          </w:p>
          <w:p w14:paraId="643B25A3">
            <w:pPr>
              <w:spacing w:line="360" w:lineRule="auto"/>
              <w:rPr>
                <w:rFonts w:ascii="宋体" w:hAnsi="宋体" w:eastAsia="宋体" w:cs="宋体"/>
                <w:sz w:val="24"/>
                <w:szCs w:val="24"/>
              </w:rPr>
            </w:pPr>
            <w:r>
              <w:rPr>
                <w:rFonts w:hint="eastAsia" w:ascii="宋体" w:hAnsi="宋体" w:eastAsia="宋体" w:cs="宋体"/>
                <w:sz w:val="24"/>
                <w:szCs w:val="24"/>
              </w:rPr>
              <w:t xml:space="preserve">（3）对项目理解不准确，内容欠缺，各展区逻辑不清晰，不符合本项目的内容内涵，得3分； </w:t>
            </w:r>
          </w:p>
          <w:p w14:paraId="7242ADAF">
            <w:pPr>
              <w:spacing w:line="360" w:lineRule="auto"/>
              <w:rPr>
                <w:rFonts w:ascii="宋体" w:hAnsi="宋体" w:eastAsia="宋体" w:cs="宋体"/>
                <w:sz w:val="24"/>
                <w:szCs w:val="24"/>
              </w:rPr>
            </w:pPr>
            <w:r>
              <w:rPr>
                <w:rFonts w:hint="eastAsia" w:ascii="宋体" w:hAnsi="宋体" w:eastAsia="宋体" w:cs="宋体"/>
                <w:sz w:val="24"/>
                <w:szCs w:val="24"/>
              </w:rPr>
              <w:t>（4）方案不可行或者未提供得 0 分。</w:t>
            </w:r>
          </w:p>
        </w:tc>
        <w:tc>
          <w:tcPr>
            <w:tcW w:w="894" w:type="pct"/>
            <w:tcBorders>
              <w:top w:val="single" w:color="auto" w:sz="4" w:space="0"/>
              <w:left w:val="single" w:color="auto" w:sz="4" w:space="0"/>
              <w:bottom w:val="single" w:color="auto" w:sz="4" w:space="0"/>
              <w:right w:val="single" w:color="auto" w:sz="4" w:space="0"/>
            </w:tcBorders>
            <w:vAlign w:val="center"/>
          </w:tcPr>
          <w:p w14:paraId="0212EF50">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w:t>
            </w:r>
            <w:r>
              <w:rPr>
                <w:rFonts w:ascii="宋体" w:hAnsi="宋体" w:eastAsia="宋体" w:cs="宋体"/>
                <w:b/>
                <w:bCs/>
                <w:sz w:val="24"/>
                <w:szCs w:val="24"/>
              </w:rPr>
              <w:t>-5</w:t>
            </w:r>
            <w:r>
              <w:rPr>
                <w:rFonts w:hint="eastAsia" w:ascii="宋体" w:hAnsi="宋体" w:eastAsia="宋体" w:cs="宋体"/>
                <w:b/>
                <w:bCs/>
                <w:sz w:val="24"/>
                <w:szCs w:val="24"/>
              </w:rPr>
              <w:t>分</w:t>
            </w:r>
          </w:p>
        </w:tc>
      </w:tr>
      <w:tr w14:paraId="0430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pct"/>
            <w:vMerge w:val="continue"/>
            <w:tcBorders>
              <w:left w:val="single" w:color="auto" w:sz="4" w:space="0"/>
              <w:right w:val="single" w:color="auto" w:sz="4" w:space="0"/>
            </w:tcBorders>
            <w:vAlign w:val="center"/>
          </w:tcPr>
          <w:p w14:paraId="58651ECE">
            <w:pPr>
              <w:spacing w:line="360" w:lineRule="auto"/>
              <w:ind w:firstLine="435"/>
              <w:jc w:val="center"/>
              <w:rPr>
                <w:rFonts w:ascii="宋体" w:hAnsi="宋体" w:eastAsia="宋体" w:cs="宋体"/>
                <w:b/>
                <w:bCs/>
                <w:sz w:val="24"/>
                <w:szCs w:val="24"/>
              </w:rPr>
            </w:pPr>
          </w:p>
        </w:tc>
        <w:tc>
          <w:tcPr>
            <w:tcW w:w="710" w:type="pct"/>
            <w:tcBorders>
              <w:top w:val="single" w:color="auto" w:sz="4" w:space="0"/>
              <w:left w:val="single" w:color="auto" w:sz="4" w:space="0"/>
              <w:bottom w:val="single" w:color="auto" w:sz="4" w:space="0"/>
              <w:right w:val="single" w:color="auto" w:sz="4" w:space="0"/>
            </w:tcBorders>
            <w:vAlign w:val="center"/>
          </w:tcPr>
          <w:p w14:paraId="0CEC8FE3">
            <w:pPr>
              <w:spacing w:line="360" w:lineRule="auto"/>
              <w:jc w:val="center"/>
              <w:rPr>
                <w:rFonts w:ascii="宋体" w:hAnsi="宋体" w:eastAsia="宋体" w:cs="宋体"/>
                <w:sz w:val="24"/>
                <w:szCs w:val="24"/>
              </w:rPr>
            </w:pPr>
            <w:r>
              <w:rPr>
                <w:rFonts w:ascii="宋体" w:hAnsi="宋体" w:eastAsia="宋体" w:cs="宋体"/>
                <w:sz w:val="24"/>
                <w:szCs w:val="24"/>
              </w:rPr>
              <w:t>设计方案</w:t>
            </w:r>
          </w:p>
        </w:tc>
        <w:tc>
          <w:tcPr>
            <w:tcW w:w="2621" w:type="pct"/>
            <w:tcBorders>
              <w:top w:val="single" w:color="auto" w:sz="4" w:space="0"/>
              <w:left w:val="single" w:color="auto" w:sz="4" w:space="0"/>
              <w:bottom w:val="single" w:color="auto" w:sz="4" w:space="0"/>
              <w:right w:val="single" w:color="auto" w:sz="4" w:space="0"/>
            </w:tcBorders>
            <w:vAlign w:val="center"/>
          </w:tcPr>
          <w:p w14:paraId="268A492C">
            <w:pPr>
              <w:spacing w:line="360" w:lineRule="auto"/>
              <w:rPr>
                <w:rFonts w:ascii="宋体" w:hAnsi="宋体" w:eastAsia="宋体" w:cs="宋体"/>
                <w:sz w:val="24"/>
                <w:szCs w:val="24"/>
              </w:rPr>
            </w:pPr>
            <w:r>
              <w:rPr>
                <w:rFonts w:hint="eastAsia" w:ascii="宋体" w:hAnsi="宋体" w:eastAsia="宋体" w:cs="宋体"/>
                <w:sz w:val="24"/>
                <w:szCs w:val="24"/>
              </w:rPr>
              <w:t>根据供应商设计方案进行综合评价：</w:t>
            </w:r>
          </w:p>
          <w:p w14:paraId="4B114AAA">
            <w:pPr>
              <w:spacing w:line="360" w:lineRule="auto"/>
              <w:rPr>
                <w:rFonts w:ascii="宋体" w:hAnsi="宋体" w:eastAsia="宋体" w:cs="宋体"/>
                <w:sz w:val="24"/>
                <w:szCs w:val="24"/>
              </w:rPr>
            </w:pPr>
            <w:r>
              <w:rPr>
                <w:rFonts w:hint="eastAsia" w:ascii="宋体" w:hAnsi="宋体" w:eastAsia="宋体" w:cs="宋体"/>
                <w:sz w:val="24"/>
                <w:szCs w:val="24"/>
              </w:rPr>
              <w:t>（1）设计理解准确，方案设计符合功能要求，展项策划完整，内容契合准确，技术应用先进，展项数量达标，效果图的美观程度、与主题的贴合程度高，得5分；</w:t>
            </w:r>
          </w:p>
          <w:p w14:paraId="33E6D189">
            <w:pPr>
              <w:spacing w:line="360" w:lineRule="auto"/>
              <w:rPr>
                <w:rFonts w:ascii="宋体" w:hAnsi="宋体" w:eastAsia="宋体" w:cs="宋体"/>
                <w:sz w:val="24"/>
                <w:szCs w:val="24"/>
              </w:rPr>
            </w:pPr>
            <w:r>
              <w:rPr>
                <w:rFonts w:hint="eastAsia" w:ascii="宋体" w:hAnsi="宋体" w:eastAsia="宋体" w:cs="宋体"/>
                <w:sz w:val="24"/>
                <w:szCs w:val="24"/>
              </w:rPr>
              <w:t>（2）设计理解较准确，空间设计较符合功能要求，展项策划较完整，内容契合较准确，技术应用较先进，展项数量达标，效果图的美观程度、与主题的贴合程度较高，得4分；</w:t>
            </w:r>
          </w:p>
          <w:p w14:paraId="62B32CB4">
            <w:pPr>
              <w:spacing w:line="360" w:lineRule="auto"/>
              <w:rPr>
                <w:rFonts w:ascii="宋体" w:hAnsi="宋体" w:eastAsia="宋体" w:cs="宋体"/>
                <w:sz w:val="24"/>
                <w:szCs w:val="24"/>
              </w:rPr>
            </w:pPr>
            <w:r>
              <w:rPr>
                <w:rFonts w:hint="eastAsia" w:ascii="宋体" w:hAnsi="宋体" w:eastAsia="宋体" w:cs="宋体"/>
                <w:sz w:val="24"/>
                <w:szCs w:val="24"/>
              </w:rPr>
              <w:t xml:space="preserve">（3）设计理解一般，空间设计基本符合功能要求，展项策划一般，内容契合一般，技术应用一般，效果图的美观程度、与主题的贴合程度一般，得3分； </w:t>
            </w:r>
          </w:p>
          <w:p w14:paraId="1FB3DCBD">
            <w:pPr>
              <w:spacing w:line="360" w:lineRule="auto"/>
              <w:rPr>
                <w:rFonts w:ascii="宋体" w:hAnsi="宋体" w:eastAsia="宋体" w:cs="宋体"/>
                <w:sz w:val="24"/>
                <w:szCs w:val="24"/>
              </w:rPr>
            </w:pPr>
            <w:r>
              <w:rPr>
                <w:rFonts w:hint="eastAsia" w:ascii="宋体" w:hAnsi="宋体" w:eastAsia="宋体" w:cs="宋体"/>
                <w:sz w:val="24"/>
                <w:szCs w:val="24"/>
              </w:rPr>
              <w:t xml:space="preserve">（4）设计理解差，空间设计不符合功能要求或展项数量不达标，展项策划差，内容契合不准确，技术应用差，效果图的美观程度、与主题的贴合程度较差，得2分； </w:t>
            </w:r>
          </w:p>
          <w:p w14:paraId="22C697E4">
            <w:pPr>
              <w:spacing w:line="360" w:lineRule="auto"/>
              <w:rPr>
                <w:rFonts w:ascii="宋体" w:hAnsi="宋体" w:eastAsia="宋体" w:cs="宋体"/>
                <w:sz w:val="24"/>
                <w:szCs w:val="24"/>
              </w:rPr>
            </w:pPr>
            <w:r>
              <w:rPr>
                <w:rFonts w:hint="eastAsia" w:ascii="宋体" w:hAnsi="宋体" w:eastAsia="宋体" w:cs="宋体"/>
                <w:sz w:val="24"/>
                <w:szCs w:val="24"/>
              </w:rPr>
              <w:t>（5）方案不可行或者未提供得 0 分。</w:t>
            </w:r>
          </w:p>
        </w:tc>
        <w:tc>
          <w:tcPr>
            <w:tcW w:w="894" w:type="pct"/>
            <w:tcBorders>
              <w:top w:val="single" w:color="auto" w:sz="4" w:space="0"/>
              <w:left w:val="single" w:color="auto" w:sz="4" w:space="0"/>
              <w:bottom w:val="single" w:color="auto" w:sz="4" w:space="0"/>
              <w:right w:val="single" w:color="auto" w:sz="4" w:space="0"/>
            </w:tcBorders>
            <w:vAlign w:val="center"/>
          </w:tcPr>
          <w:p w14:paraId="007E6349">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w:t>
            </w:r>
            <w:r>
              <w:rPr>
                <w:rFonts w:ascii="宋体" w:hAnsi="宋体" w:eastAsia="宋体" w:cs="宋体"/>
                <w:b/>
                <w:bCs/>
                <w:sz w:val="24"/>
                <w:szCs w:val="24"/>
              </w:rPr>
              <w:t>-5</w:t>
            </w:r>
            <w:r>
              <w:rPr>
                <w:rFonts w:hint="eastAsia" w:ascii="宋体" w:hAnsi="宋体" w:eastAsia="宋体" w:cs="宋体"/>
                <w:b/>
                <w:bCs/>
                <w:sz w:val="24"/>
                <w:szCs w:val="24"/>
              </w:rPr>
              <w:t>分</w:t>
            </w:r>
          </w:p>
        </w:tc>
      </w:tr>
      <w:tr w14:paraId="4994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pct"/>
            <w:vMerge w:val="continue"/>
            <w:tcBorders>
              <w:left w:val="single" w:color="auto" w:sz="4" w:space="0"/>
              <w:bottom w:val="nil"/>
              <w:right w:val="single" w:color="auto" w:sz="4" w:space="0"/>
            </w:tcBorders>
            <w:vAlign w:val="center"/>
          </w:tcPr>
          <w:p w14:paraId="587908A1">
            <w:pPr>
              <w:spacing w:line="360" w:lineRule="auto"/>
              <w:ind w:firstLine="435"/>
              <w:jc w:val="center"/>
              <w:rPr>
                <w:rFonts w:ascii="宋体" w:hAnsi="宋体" w:eastAsia="宋体" w:cs="宋体"/>
                <w:b/>
                <w:bCs/>
                <w:sz w:val="24"/>
                <w:szCs w:val="24"/>
              </w:rPr>
            </w:pPr>
          </w:p>
        </w:tc>
        <w:tc>
          <w:tcPr>
            <w:tcW w:w="710" w:type="pct"/>
            <w:tcBorders>
              <w:top w:val="single" w:color="auto" w:sz="4" w:space="0"/>
              <w:left w:val="single" w:color="auto" w:sz="4" w:space="0"/>
              <w:bottom w:val="single" w:color="auto" w:sz="4" w:space="0"/>
              <w:right w:val="single" w:color="auto" w:sz="4" w:space="0"/>
            </w:tcBorders>
            <w:vAlign w:val="center"/>
          </w:tcPr>
          <w:p w14:paraId="0111378E">
            <w:pPr>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实施组织方案</w:t>
            </w:r>
          </w:p>
        </w:tc>
        <w:tc>
          <w:tcPr>
            <w:tcW w:w="2621" w:type="pct"/>
            <w:tcBorders>
              <w:top w:val="single" w:color="auto" w:sz="4" w:space="0"/>
              <w:left w:val="single" w:color="auto" w:sz="4" w:space="0"/>
              <w:bottom w:val="single" w:color="auto" w:sz="4" w:space="0"/>
              <w:right w:val="single" w:color="auto" w:sz="4" w:space="0"/>
            </w:tcBorders>
            <w:vAlign w:val="center"/>
          </w:tcPr>
          <w:p w14:paraId="5C1552F2">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评标委员会根据各投标人的项目实施组织方案 (包括但不限于施工技术标准、要求、操作流程等) 进行评审：</w:t>
            </w:r>
          </w:p>
          <w:p w14:paraId="30307F59">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（1）提供科学可靠、完善，可行的项目实施组织方案，对施工技术标准、要求、操作流程等有详尽描述的，得5分；</w:t>
            </w:r>
          </w:p>
          <w:p w14:paraId="1509F4A2">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（2）提供比较可靠、比较完善的项目实施组织方案，对施工技术标准、要求、操作流程等有描述的，得4分； </w:t>
            </w:r>
          </w:p>
          <w:p w14:paraId="72A39A51">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（3）提供简单的项目实施组织方案，对施工技术标准、要求、操作流程等有简单描述的，得3分；</w:t>
            </w:r>
          </w:p>
          <w:p w14:paraId="197F7908">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asciiTheme="minorEastAsia" w:hAnsiTheme="minorEastAsia" w:eastAsiaTheme="minorEastAsia" w:cstheme="minorEastAsia"/>
                <w:sz w:val="24"/>
                <w:szCs w:val="24"/>
              </w:rPr>
              <w:t>实施组织方案</w:t>
            </w:r>
            <w:r>
              <w:rPr>
                <w:rFonts w:hint="eastAsia" w:asciiTheme="minorEastAsia" w:hAnsiTheme="minorEastAsia" w:eastAsiaTheme="minorEastAsia" w:cstheme="minorEastAsia"/>
                <w:sz w:val="24"/>
                <w:szCs w:val="24"/>
              </w:rPr>
              <w:t xml:space="preserve">差，对施工技术标准、要求、操作流程等描述不准确的，总体有待完善的，得2分；  </w:t>
            </w:r>
          </w:p>
          <w:p w14:paraId="3684A099">
            <w:pPr>
              <w:spacing w:line="360" w:lineRule="auto"/>
              <w:rPr>
                <w:rFonts w:ascii="宋体" w:hAnsi="宋体" w:eastAsia="宋体" w:cs="宋体"/>
                <w:sz w:val="24"/>
                <w:szCs w:val="24"/>
              </w:rPr>
            </w:pPr>
            <w:r>
              <w:rPr>
                <w:rFonts w:hint="eastAsia" w:asciiTheme="minorEastAsia" w:hAnsiTheme="minorEastAsia" w:eastAsiaTheme="minorEastAsia" w:cstheme="minorEastAsia"/>
                <w:sz w:val="24"/>
                <w:szCs w:val="24"/>
              </w:rPr>
              <w:t>（5）方案不可行或者未提供得 0 分。</w:t>
            </w:r>
          </w:p>
        </w:tc>
        <w:tc>
          <w:tcPr>
            <w:tcW w:w="894" w:type="pct"/>
            <w:tcBorders>
              <w:top w:val="single" w:color="auto" w:sz="4" w:space="0"/>
              <w:left w:val="single" w:color="auto" w:sz="4" w:space="0"/>
              <w:bottom w:val="single" w:color="auto" w:sz="4" w:space="0"/>
              <w:right w:val="single" w:color="auto" w:sz="4" w:space="0"/>
            </w:tcBorders>
            <w:vAlign w:val="center"/>
          </w:tcPr>
          <w:p w14:paraId="7F752FA8">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w:t>
            </w:r>
            <w:r>
              <w:rPr>
                <w:rFonts w:ascii="宋体" w:hAnsi="宋体" w:eastAsia="宋体" w:cs="宋体"/>
                <w:b/>
                <w:bCs/>
                <w:sz w:val="24"/>
                <w:szCs w:val="24"/>
              </w:rPr>
              <w:t>-5</w:t>
            </w:r>
            <w:r>
              <w:rPr>
                <w:rFonts w:hint="eastAsia" w:ascii="宋体" w:hAnsi="宋体" w:eastAsia="宋体" w:cs="宋体"/>
                <w:b/>
                <w:bCs/>
                <w:sz w:val="24"/>
                <w:szCs w:val="24"/>
              </w:rPr>
              <w:t>分</w:t>
            </w:r>
          </w:p>
        </w:tc>
      </w:tr>
      <w:tr w14:paraId="3913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pct"/>
            <w:tcBorders>
              <w:top w:val="nil"/>
              <w:left w:val="single" w:color="auto" w:sz="4" w:space="0"/>
              <w:bottom w:val="nil"/>
              <w:right w:val="single" w:color="auto" w:sz="4" w:space="0"/>
            </w:tcBorders>
            <w:vAlign w:val="center"/>
          </w:tcPr>
          <w:p w14:paraId="4944B3E2">
            <w:pPr>
              <w:spacing w:line="360" w:lineRule="auto"/>
              <w:ind w:firstLine="435"/>
              <w:jc w:val="center"/>
              <w:rPr>
                <w:rFonts w:ascii="宋体" w:hAnsi="宋体" w:eastAsia="宋体" w:cs="宋体"/>
                <w:b/>
                <w:bCs/>
                <w:sz w:val="24"/>
                <w:szCs w:val="24"/>
              </w:rPr>
            </w:pPr>
          </w:p>
          <w:p w14:paraId="0D2A4C95">
            <w:pPr>
              <w:pStyle w:val="2"/>
              <w:ind w:firstLine="480"/>
              <w:rPr>
                <w:rFonts w:ascii="宋体" w:hAnsi="宋体" w:eastAsia="宋体" w:cs="宋体"/>
                <w:sz w:val="24"/>
                <w:szCs w:val="24"/>
              </w:rPr>
            </w:pPr>
          </w:p>
        </w:tc>
        <w:tc>
          <w:tcPr>
            <w:tcW w:w="710" w:type="pct"/>
            <w:tcBorders>
              <w:top w:val="single" w:color="auto" w:sz="4" w:space="0"/>
              <w:left w:val="single" w:color="auto" w:sz="4" w:space="0"/>
              <w:bottom w:val="single" w:color="auto" w:sz="4" w:space="0"/>
              <w:right w:val="single" w:color="auto" w:sz="4" w:space="0"/>
            </w:tcBorders>
            <w:vAlign w:val="center"/>
          </w:tcPr>
          <w:p w14:paraId="3AAD16E2">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维保</w:t>
            </w:r>
            <w:r>
              <w:rPr>
                <w:rFonts w:asciiTheme="minorEastAsia" w:hAnsiTheme="minorEastAsia" w:eastAsiaTheme="minorEastAsia" w:cstheme="minorEastAsia"/>
                <w:sz w:val="24"/>
                <w:szCs w:val="24"/>
              </w:rPr>
              <w:t>服务</w:t>
            </w:r>
          </w:p>
        </w:tc>
        <w:tc>
          <w:tcPr>
            <w:tcW w:w="2621" w:type="pct"/>
            <w:tcBorders>
              <w:top w:val="single" w:color="auto" w:sz="4" w:space="0"/>
              <w:left w:val="single" w:color="auto" w:sz="4" w:space="0"/>
              <w:bottom w:val="single" w:color="auto" w:sz="4" w:space="0"/>
              <w:right w:val="single" w:color="auto" w:sz="4" w:space="0"/>
            </w:tcBorders>
            <w:vAlign w:val="center"/>
          </w:tcPr>
          <w:p w14:paraId="762D4196">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根据供应商对本项目实际情况，提供的服务方案，进行综合评分：</w:t>
            </w:r>
          </w:p>
          <w:p w14:paraId="76E80B84">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（1）针对本项目的各项维护保养计划完善，售后服务管理各项质量指标完备、承诺明确清晰，能提供的便捷服务，得5分； </w:t>
            </w:r>
          </w:p>
          <w:p w14:paraId="23A43D0A">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（2）针对本项目的各项维护保养计划较完善，售后服务管理各项质量指标较完备、承诺较清晰，能提供较便捷服务，得4分； </w:t>
            </w:r>
          </w:p>
          <w:p w14:paraId="374B0946">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（3）针对本项目的各项维护保养计划不完善，售后服务管理各项质量指标不完备、承诺不清晰，不能提供便捷服务，得3分；</w:t>
            </w:r>
          </w:p>
          <w:p w14:paraId="71EF07D2">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（4）方案不可行或者未提供得 0 分。</w:t>
            </w:r>
          </w:p>
        </w:tc>
        <w:tc>
          <w:tcPr>
            <w:tcW w:w="894" w:type="pct"/>
            <w:tcBorders>
              <w:top w:val="single" w:color="auto" w:sz="4" w:space="0"/>
              <w:left w:val="single" w:color="auto" w:sz="4" w:space="0"/>
              <w:bottom w:val="single" w:color="auto" w:sz="4" w:space="0"/>
              <w:right w:val="single" w:color="auto" w:sz="4" w:space="0"/>
            </w:tcBorders>
            <w:vAlign w:val="center"/>
          </w:tcPr>
          <w:p w14:paraId="09FB0115">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w:t>
            </w:r>
            <w:r>
              <w:rPr>
                <w:rFonts w:ascii="宋体" w:hAnsi="宋体" w:eastAsia="宋体" w:cs="宋体"/>
                <w:b/>
                <w:bCs/>
                <w:sz w:val="24"/>
                <w:szCs w:val="24"/>
              </w:rPr>
              <w:t>-5</w:t>
            </w:r>
            <w:r>
              <w:rPr>
                <w:rFonts w:hint="eastAsia" w:ascii="宋体" w:hAnsi="宋体" w:eastAsia="宋体" w:cs="宋体"/>
                <w:b/>
                <w:bCs/>
                <w:sz w:val="24"/>
                <w:szCs w:val="24"/>
              </w:rPr>
              <w:t>分</w:t>
            </w:r>
          </w:p>
        </w:tc>
      </w:tr>
      <w:tr w14:paraId="2BF0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pct"/>
            <w:tcBorders>
              <w:top w:val="nil"/>
              <w:left w:val="single" w:color="auto" w:sz="4" w:space="0"/>
              <w:bottom w:val="nil"/>
              <w:right w:val="single" w:color="auto" w:sz="4" w:space="0"/>
            </w:tcBorders>
            <w:vAlign w:val="center"/>
          </w:tcPr>
          <w:p w14:paraId="294D3FE1">
            <w:pPr>
              <w:pStyle w:val="2"/>
              <w:ind w:firstLine="480"/>
              <w:rPr>
                <w:rFonts w:ascii="宋体" w:hAnsi="宋体" w:eastAsia="宋体" w:cs="宋体"/>
                <w:sz w:val="24"/>
                <w:szCs w:val="24"/>
              </w:rPr>
            </w:pPr>
          </w:p>
        </w:tc>
        <w:tc>
          <w:tcPr>
            <w:tcW w:w="710" w:type="pct"/>
            <w:tcBorders>
              <w:top w:val="single" w:color="auto" w:sz="4" w:space="0"/>
              <w:left w:val="single" w:color="auto" w:sz="4" w:space="0"/>
              <w:bottom w:val="single" w:color="auto" w:sz="4" w:space="0"/>
              <w:right w:val="single" w:color="auto" w:sz="4" w:space="0"/>
            </w:tcBorders>
            <w:vAlign w:val="center"/>
          </w:tcPr>
          <w:p w14:paraId="422F385C">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确保安全展览的组织措施</w:t>
            </w:r>
          </w:p>
        </w:tc>
        <w:tc>
          <w:tcPr>
            <w:tcW w:w="2621" w:type="pct"/>
            <w:tcBorders>
              <w:top w:val="single" w:color="auto" w:sz="4" w:space="0"/>
              <w:left w:val="single" w:color="auto" w:sz="4" w:space="0"/>
              <w:bottom w:val="single" w:color="auto" w:sz="4" w:space="0"/>
              <w:right w:val="single" w:color="auto" w:sz="4" w:space="0"/>
            </w:tcBorders>
            <w:vAlign w:val="center"/>
          </w:tcPr>
          <w:p w14:paraId="1F30EEEB">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供应商对项目背景、特点并制定安全展览措施以及应急处置方案措施等：</w:t>
            </w:r>
          </w:p>
          <w:p w14:paraId="6C34146F">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（1）认知与理解准确，观点明确，理论清晰，重难点把握精确，处理措施完整详细、</w:t>
            </w:r>
            <w:r>
              <w:rPr>
                <w:rFonts w:hint="eastAsia" w:asciiTheme="minorEastAsia" w:hAnsiTheme="minorEastAsia" w:eastAsiaTheme="minorEastAsia" w:cstheme="minorEastAsia"/>
                <w:sz w:val="24"/>
                <w:szCs w:val="24"/>
                <w:lang w:val="zh-TW"/>
              </w:rPr>
              <w:t>可行性、实用性、针对性强</w:t>
            </w:r>
            <w:r>
              <w:rPr>
                <w:rFonts w:hint="eastAsia" w:asciiTheme="minorEastAsia" w:hAnsiTheme="minorEastAsia" w:eastAsiaTheme="minorEastAsia" w:cstheme="minorEastAsia"/>
                <w:sz w:val="24"/>
                <w:szCs w:val="24"/>
              </w:rPr>
              <w:t xml:space="preserve">的得5分； </w:t>
            </w:r>
          </w:p>
          <w:p w14:paraId="2AC0607D">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（2）认知与理解准确，观点明确，重难点分析基本符合，处理措施适用本项目，具有可行性、实用性和针对性的得4分；</w:t>
            </w:r>
          </w:p>
          <w:p w14:paraId="2C1479CB">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（3）认知与理解准确程度有待提升，处理措施有待细化、完善的得3分； </w:t>
            </w:r>
          </w:p>
          <w:p w14:paraId="464E885B">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（4）方案不可行或者未提供得 0 分。</w:t>
            </w:r>
          </w:p>
        </w:tc>
        <w:tc>
          <w:tcPr>
            <w:tcW w:w="894" w:type="pct"/>
            <w:tcBorders>
              <w:top w:val="single" w:color="auto" w:sz="4" w:space="0"/>
              <w:left w:val="single" w:color="auto" w:sz="4" w:space="0"/>
              <w:bottom w:val="single" w:color="auto" w:sz="4" w:space="0"/>
              <w:right w:val="single" w:color="auto" w:sz="4" w:space="0"/>
            </w:tcBorders>
            <w:vAlign w:val="center"/>
          </w:tcPr>
          <w:p w14:paraId="7C885176">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2D9C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775" w:type="pct"/>
            <w:tcBorders>
              <w:top w:val="nil"/>
              <w:left w:val="single" w:color="auto" w:sz="4" w:space="0"/>
              <w:bottom w:val="nil"/>
              <w:right w:val="single" w:color="auto" w:sz="4" w:space="0"/>
            </w:tcBorders>
            <w:vAlign w:val="center"/>
          </w:tcPr>
          <w:p w14:paraId="799F9298">
            <w:pPr>
              <w:pStyle w:val="2"/>
              <w:ind w:firstLine="480"/>
              <w:rPr>
                <w:rFonts w:ascii="宋体" w:hAnsi="宋体" w:eastAsia="宋体" w:cs="宋体"/>
                <w:sz w:val="24"/>
                <w:szCs w:val="24"/>
              </w:rPr>
            </w:pPr>
          </w:p>
        </w:tc>
        <w:tc>
          <w:tcPr>
            <w:tcW w:w="710" w:type="pct"/>
            <w:tcBorders>
              <w:top w:val="single" w:color="auto" w:sz="4" w:space="0"/>
              <w:left w:val="single" w:color="auto" w:sz="4" w:space="0"/>
              <w:bottom w:val="single" w:color="auto" w:sz="4" w:space="0"/>
              <w:right w:val="single" w:color="auto" w:sz="4" w:space="0"/>
            </w:tcBorders>
            <w:vAlign w:val="center"/>
          </w:tcPr>
          <w:p w14:paraId="1EB1CBD1">
            <w:pPr>
              <w:spacing w:line="440" w:lineRule="exact"/>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项目基础资料搜集方案</w:t>
            </w:r>
          </w:p>
        </w:tc>
        <w:tc>
          <w:tcPr>
            <w:tcW w:w="2621" w:type="pct"/>
            <w:tcBorders>
              <w:top w:val="single" w:color="auto" w:sz="4" w:space="0"/>
              <w:left w:val="single" w:color="auto" w:sz="4" w:space="0"/>
              <w:bottom w:val="single" w:color="auto" w:sz="4" w:space="0"/>
              <w:right w:val="single" w:color="auto" w:sz="4" w:space="0"/>
            </w:tcBorders>
            <w:vAlign w:val="center"/>
          </w:tcPr>
          <w:p w14:paraId="10453007">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供应商针对本项目制定专门的基础资料搜集方案：</w:t>
            </w:r>
          </w:p>
          <w:p w14:paraId="46641245">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（1）基础资料搜集方案内容详尽全面，搜集措施、工具完善齐全、对本项目有针对性，且层次清晰的得5分； </w:t>
            </w:r>
          </w:p>
          <w:p w14:paraId="2C8DABE8">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（2）基础资料搜集方案内容完整，具有基本的措施和工具、基本符合本项目采购需求，具有可行性的得4分；</w:t>
            </w:r>
          </w:p>
          <w:p w14:paraId="28BB998C">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（3）基础资料搜集方案内容简单或部分缺失，有待进一步完善的得3分； </w:t>
            </w:r>
          </w:p>
          <w:p w14:paraId="2BDD4385">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（4）方案不可行或者未提供得 0 分。</w:t>
            </w:r>
          </w:p>
        </w:tc>
        <w:tc>
          <w:tcPr>
            <w:tcW w:w="894" w:type="pct"/>
            <w:tcBorders>
              <w:top w:val="single" w:color="auto" w:sz="4" w:space="0"/>
              <w:left w:val="single" w:color="auto" w:sz="4" w:space="0"/>
              <w:bottom w:val="single" w:color="auto" w:sz="4" w:space="0"/>
              <w:right w:val="single" w:color="auto" w:sz="4" w:space="0"/>
            </w:tcBorders>
            <w:vAlign w:val="center"/>
          </w:tcPr>
          <w:p w14:paraId="17F1903B">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2D46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5" w:type="pct"/>
            <w:tcBorders>
              <w:top w:val="nil"/>
              <w:left w:val="single" w:color="auto" w:sz="4" w:space="0"/>
              <w:bottom w:val="nil"/>
              <w:right w:val="single" w:color="auto" w:sz="4" w:space="0"/>
            </w:tcBorders>
            <w:vAlign w:val="center"/>
          </w:tcPr>
          <w:p w14:paraId="19C97BC3">
            <w:pPr>
              <w:pStyle w:val="2"/>
              <w:ind w:firstLine="480"/>
              <w:rPr>
                <w:rFonts w:ascii="宋体" w:hAnsi="宋体" w:eastAsia="宋体" w:cs="宋体"/>
                <w:sz w:val="24"/>
                <w:szCs w:val="24"/>
              </w:rPr>
            </w:pPr>
          </w:p>
        </w:tc>
        <w:tc>
          <w:tcPr>
            <w:tcW w:w="710" w:type="pct"/>
            <w:tcBorders>
              <w:top w:val="single" w:color="auto" w:sz="4" w:space="0"/>
              <w:left w:val="single" w:color="auto" w:sz="4" w:space="0"/>
              <w:bottom w:val="single" w:color="auto" w:sz="4" w:space="0"/>
              <w:right w:val="single" w:color="auto" w:sz="4" w:space="0"/>
            </w:tcBorders>
            <w:vAlign w:val="center"/>
          </w:tcPr>
          <w:p w14:paraId="44806B72">
            <w:pPr>
              <w:spacing w:line="440" w:lineRule="exact"/>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安全施工</w:t>
            </w:r>
            <w:r>
              <w:rPr>
                <w:rFonts w:hint="eastAsia" w:asciiTheme="minorEastAsia" w:hAnsiTheme="minorEastAsia" w:eastAsiaTheme="minorEastAsia" w:cstheme="minorEastAsia"/>
                <w:sz w:val="24"/>
                <w:szCs w:val="24"/>
                <w:lang w:val="zh-CN"/>
              </w:rPr>
              <w:t>措施</w:t>
            </w:r>
          </w:p>
        </w:tc>
        <w:tc>
          <w:tcPr>
            <w:tcW w:w="2621" w:type="pct"/>
            <w:tcBorders>
              <w:top w:val="single" w:color="auto" w:sz="4" w:space="0"/>
              <w:left w:val="single" w:color="auto" w:sz="4" w:space="0"/>
              <w:bottom w:val="single" w:color="auto" w:sz="4" w:space="0"/>
              <w:right w:val="single" w:color="auto" w:sz="4" w:space="0"/>
            </w:tcBorders>
            <w:vAlign w:val="center"/>
          </w:tcPr>
          <w:p w14:paraId="6E8AF67F">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根据供应商提供的合理化建议措施进行评审： </w:t>
            </w:r>
          </w:p>
          <w:p w14:paraId="21453D90">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（1）方案具有专门的安全管理人员和制度，人员配备充足，制度健全，各道工序具有完整的管理体系与措施，符合实际安全技术标准要求的，得5分；</w:t>
            </w:r>
          </w:p>
          <w:p w14:paraId="3CAE791E">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（2）方案具有专门的安全管理人员和制度，人员配备适中，制度完善，各道工序具有安全技术措施的，得4分；</w:t>
            </w:r>
          </w:p>
          <w:p w14:paraId="2227C3CA">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（3）方案内容简单，缺少安全管理人员和制度的，得3 分；</w:t>
            </w:r>
          </w:p>
          <w:p w14:paraId="517E82AF">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（4）方案不可行或者未提供得 0 分。</w:t>
            </w:r>
          </w:p>
        </w:tc>
        <w:tc>
          <w:tcPr>
            <w:tcW w:w="894" w:type="pct"/>
            <w:tcBorders>
              <w:top w:val="single" w:color="auto" w:sz="4" w:space="0"/>
              <w:left w:val="single" w:color="auto" w:sz="4" w:space="0"/>
              <w:bottom w:val="single" w:color="auto" w:sz="4" w:space="0"/>
              <w:right w:val="single" w:color="auto" w:sz="4" w:space="0"/>
            </w:tcBorders>
            <w:vAlign w:val="center"/>
          </w:tcPr>
          <w:p w14:paraId="532C8EAF">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6F3A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775" w:type="pct"/>
            <w:tcBorders>
              <w:top w:val="nil"/>
              <w:left w:val="single" w:color="auto" w:sz="4" w:space="0"/>
              <w:right w:val="single" w:color="auto" w:sz="4" w:space="0"/>
            </w:tcBorders>
            <w:vAlign w:val="center"/>
          </w:tcPr>
          <w:p w14:paraId="55BCF6CF">
            <w:pPr>
              <w:pStyle w:val="2"/>
              <w:ind w:firstLine="480"/>
              <w:rPr>
                <w:rFonts w:ascii="宋体" w:hAnsi="宋体" w:eastAsia="宋体" w:cs="宋体"/>
                <w:sz w:val="24"/>
                <w:szCs w:val="24"/>
              </w:rPr>
            </w:pPr>
          </w:p>
        </w:tc>
        <w:tc>
          <w:tcPr>
            <w:tcW w:w="710" w:type="pct"/>
            <w:tcBorders>
              <w:top w:val="single" w:color="auto" w:sz="4" w:space="0"/>
              <w:left w:val="single" w:color="auto" w:sz="4" w:space="0"/>
              <w:bottom w:val="single" w:color="auto" w:sz="4" w:space="0"/>
              <w:right w:val="single" w:color="auto" w:sz="4" w:space="0"/>
            </w:tcBorders>
            <w:vAlign w:val="center"/>
          </w:tcPr>
          <w:p w14:paraId="53A272A1">
            <w:pPr>
              <w:spacing w:line="440" w:lineRule="exact"/>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工作进度保障措施</w:t>
            </w:r>
          </w:p>
        </w:tc>
        <w:tc>
          <w:tcPr>
            <w:tcW w:w="2621" w:type="pct"/>
            <w:tcBorders>
              <w:top w:val="single" w:color="auto" w:sz="4" w:space="0"/>
              <w:left w:val="single" w:color="auto" w:sz="4" w:space="0"/>
              <w:bottom w:val="single" w:color="auto" w:sz="4" w:space="0"/>
              <w:right w:val="single" w:color="auto" w:sz="4" w:space="0"/>
            </w:tcBorders>
            <w:vAlign w:val="center"/>
          </w:tcPr>
          <w:p w14:paraId="02525B7A">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根据供应商提供的工作进度计划实施方案进行评审： </w:t>
            </w:r>
          </w:p>
          <w:p w14:paraId="6C6F3F39">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施工工艺、施工方法、材料选用、技术等方面有保证工期的具体措施且措施得当。有控制工期的施工进度计划。应有施工总进度表或施工网络图，各项计划图表编制完善，安排合理，符合本项目施工实际要求得5分;</w:t>
            </w:r>
          </w:p>
          <w:p w14:paraId="75F978DD">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（2）在施工工艺、施工方法、材料选用、技术等方面有保证工期的措施且措施得当。符合本项目施工实际要求得4分;</w:t>
            </w:r>
          </w:p>
          <w:p w14:paraId="247A6A90">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（3）在施工工艺、施工方法、材料选用、技术等方面有保证工期的措施。有控制工期的施工进度计划。有施工总进度表或施工网络图，但缺项或关键点缺失，措施有待完善的得3分;</w:t>
            </w:r>
          </w:p>
          <w:p w14:paraId="54F7D08B">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（4）方案不能满足项目实施要求或未提供的不得分。</w:t>
            </w:r>
          </w:p>
        </w:tc>
        <w:tc>
          <w:tcPr>
            <w:tcW w:w="894" w:type="pct"/>
            <w:tcBorders>
              <w:top w:val="single" w:color="auto" w:sz="4" w:space="0"/>
              <w:left w:val="single" w:color="auto" w:sz="4" w:space="0"/>
              <w:bottom w:val="single" w:color="auto" w:sz="4" w:space="0"/>
              <w:right w:val="single" w:color="auto" w:sz="4" w:space="0"/>
            </w:tcBorders>
            <w:vAlign w:val="center"/>
          </w:tcPr>
          <w:p w14:paraId="14A18635">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2F6A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pct"/>
            <w:tcBorders>
              <w:left w:val="single" w:color="auto" w:sz="4" w:space="0"/>
              <w:right w:val="single" w:color="auto" w:sz="4" w:space="0"/>
            </w:tcBorders>
            <w:vAlign w:val="center"/>
          </w:tcPr>
          <w:p w14:paraId="43C5FCD5">
            <w:pPr>
              <w:spacing w:line="360" w:lineRule="auto"/>
              <w:jc w:val="center"/>
              <w:rPr>
                <w:rFonts w:ascii="宋体" w:hAnsi="宋体" w:eastAsia="宋体" w:cs="宋体"/>
                <w:sz w:val="24"/>
                <w:szCs w:val="24"/>
              </w:rPr>
            </w:pPr>
            <w:r>
              <w:rPr>
                <w:rFonts w:hint="eastAsia" w:ascii="宋体" w:hAnsi="宋体" w:eastAsia="宋体" w:cs="宋体"/>
                <w:sz w:val="24"/>
                <w:szCs w:val="24"/>
              </w:rPr>
              <w:t>价格分</w:t>
            </w:r>
          </w:p>
          <w:p w14:paraId="1365AC4C">
            <w:pPr>
              <w:spacing w:line="360" w:lineRule="auto"/>
              <w:jc w:val="center"/>
              <w:rPr>
                <w:rFonts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3</w:t>
            </w:r>
            <w:r>
              <w:rPr>
                <w:rFonts w:ascii="宋体" w:hAnsi="宋体" w:eastAsia="宋体" w:cs="宋体"/>
                <w:sz w:val="24"/>
                <w:szCs w:val="24"/>
                <w:u w:val="single"/>
              </w:rPr>
              <w:t>0</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tc>
        <w:tc>
          <w:tcPr>
            <w:tcW w:w="4225" w:type="pct"/>
            <w:gridSpan w:val="3"/>
            <w:tcBorders>
              <w:top w:val="single" w:color="auto" w:sz="4" w:space="0"/>
              <w:left w:val="single" w:color="auto" w:sz="4" w:space="0"/>
              <w:bottom w:val="single" w:color="auto" w:sz="4" w:space="0"/>
              <w:right w:val="single" w:color="auto" w:sz="4" w:space="0"/>
            </w:tcBorders>
            <w:vAlign w:val="center"/>
          </w:tcPr>
          <w:p w14:paraId="24D44ED6">
            <w:pPr>
              <w:spacing w:line="360" w:lineRule="auto"/>
              <w:rPr>
                <w:rFonts w:ascii="宋体" w:hAnsi="宋体" w:eastAsia="宋体" w:cs="宋体"/>
                <w:sz w:val="24"/>
                <w:szCs w:val="24"/>
                <w:highlight w:val="none"/>
              </w:rPr>
            </w:pPr>
            <w:r>
              <w:rPr>
                <w:rFonts w:hint="eastAsia" w:ascii="宋体" w:hAnsi="宋体" w:eastAsia="宋体" w:cs="宋体"/>
                <w:sz w:val="24"/>
                <w:szCs w:val="24"/>
              </w:rPr>
              <w:t>价格分统一采用低价优先法，即满足磋商文件要求且最后报价最低的供应商的价格为磋商基准价，其价格分为满分</w:t>
            </w:r>
            <w:r>
              <w:rPr>
                <w:rFonts w:hint="eastAsia" w:ascii="宋体" w:hAnsi="宋体" w:eastAsia="宋体" w:cs="宋体"/>
                <w:sz w:val="24"/>
                <w:szCs w:val="24"/>
                <w:u w:val="single"/>
              </w:rPr>
              <w:t>3</w:t>
            </w:r>
            <w:r>
              <w:rPr>
                <w:rFonts w:ascii="宋体" w:hAnsi="宋体" w:eastAsia="宋体" w:cs="宋体"/>
                <w:sz w:val="24"/>
                <w:szCs w:val="24"/>
                <w:u w:val="single"/>
              </w:rPr>
              <w:t>0</w:t>
            </w:r>
            <w:r>
              <w:rPr>
                <w:rFonts w:hint="eastAsia" w:ascii="宋体" w:hAnsi="宋体" w:eastAsia="宋体" w:cs="宋体"/>
                <w:sz w:val="24"/>
                <w:szCs w:val="24"/>
                <w:u w:val="single"/>
              </w:rPr>
              <w:t xml:space="preserve"> </w:t>
            </w:r>
            <w:r>
              <w:rPr>
                <w:rFonts w:hint="eastAsia" w:ascii="宋体" w:hAnsi="宋体" w:eastAsia="宋体" w:cs="宋体"/>
                <w:sz w:val="24"/>
                <w:szCs w:val="24"/>
              </w:rPr>
              <w:t>分。其他供应商的价格分统一按照下列公式计算：</w:t>
            </w:r>
          </w:p>
          <w:p w14:paraId="739CBFA5">
            <w:pPr>
              <w:spacing w:line="360" w:lineRule="auto"/>
              <w:rPr>
                <w:rFonts w:ascii="宋体" w:hAnsi="宋体" w:eastAsia="宋体" w:cs="宋体"/>
                <w:b/>
                <w:bCs/>
                <w:sz w:val="24"/>
                <w:szCs w:val="24"/>
              </w:rPr>
            </w:pPr>
            <w:r>
              <w:rPr>
                <w:rFonts w:hint="eastAsia" w:ascii="宋体" w:hAnsi="宋体" w:eastAsia="宋体" w:cs="宋体"/>
                <w:sz w:val="24"/>
                <w:szCs w:val="24"/>
                <w:highlight w:val="none"/>
              </w:rPr>
              <w:t>磋商报价得分＝（磋商基准价/最后磋商报价）×</w:t>
            </w:r>
            <w:r>
              <w:rPr>
                <w:rFonts w:hint="eastAsia" w:ascii="宋体" w:hAnsi="宋体" w:eastAsia="宋体" w:cs="宋体"/>
                <w:sz w:val="24"/>
                <w:szCs w:val="24"/>
                <w:highlight w:val="none"/>
                <w:u w:val="single"/>
              </w:rPr>
              <w:t xml:space="preserve"> 3</w:t>
            </w:r>
            <w:r>
              <w:rPr>
                <w:rFonts w:ascii="宋体" w:hAnsi="宋体" w:eastAsia="宋体" w:cs="宋体"/>
                <w:sz w:val="24"/>
                <w:szCs w:val="24"/>
                <w:highlight w:val="none"/>
                <w:u w:val="single"/>
              </w:rPr>
              <w:t>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％×100</w:t>
            </w:r>
          </w:p>
        </w:tc>
      </w:tr>
    </w:tbl>
    <w:p w14:paraId="1B12196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.3</w:t>
      </w:r>
      <w:r>
        <w:rPr>
          <w:rFonts w:hint="eastAsia" w:asciiTheme="minorEastAsia" w:hAnsiTheme="minorEastAsia" w:eastAsiaTheme="minorEastAsia"/>
          <w:sz w:val="24"/>
        </w:rPr>
        <w:t>分值汇总</w:t>
      </w:r>
    </w:p>
    <w:p w14:paraId="1EC1730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1）磋商小组各成员应当独立对每个有效响应的文件进行评价、打分，然后汇总每个供应商每项评分因素的得分，再取各位评委评分之平均值，四舍五入保留至小数点后两位数，得到该供应商的技术资信分。</w:t>
      </w:r>
    </w:p>
    <w:p w14:paraId="5170364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2）将每个供应商的技术资信分加上根据上述标准计算出的价格分，即为该供应商的综合总得分。</w:t>
      </w:r>
    </w:p>
    <w:p w14:paraId="5BFB024E">
      <w:pPr>
        <w:spacing w:line="360" w:lineRule="auto"/>
        <w:ind w:firstLine="435"/>
        <w:rPr>
          <w:rFonts w:asciiTheme="minorEastAsia" w:hAnsiTheme="minorEastAsia" w:eastAsiaTheme="minorEastAsia"/>
          <w:b/>
          <w:bCs/>
          <w:sz w:val="24"/>
        </w:rPr>
      </w:pPr>
      <w:r>
        <w:rPr>
          <w:rFonts w:hint="eastAsia" w:asciiTheme="minorEastAsia" w:hAnsiTheme="minorEastAsia" w:eastAsiaTheme="minorEastAsia"/>
          <w:b/>
          <w:bCs/>
          <w:sz w:val="24"/>
        </w:rPr>
        <w:t>三、无效投标条款</w:t>
      </w:r>
    </w:p>
    <w:p w14:paraId="7C91BBA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3.1响应文件有下列情形之一的,其响应文件拒收:</w:t>
      </w:r>
    </w:p>
    <w:p w14:paraId="594AC9B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(1)未在响应文件递交截止时间前递交有效响应文件的，其将被拒绝。</w:t>
      </w:r>
    </w:p>
    <w:p w14:paraId="7C8524D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3.2供应商有下列情形之一的,资格审查后其作无效响应处理：</w:t>
      </w:r>
    </w:p>
    <w:p w14:paraId="1D2A481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（1）为本项目提供采购代理服务的；</w:t>
      </w:r>
    </w:p>
    <w:p w14:paraId="5E7140F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（2）供应商与在本项目代理机构存在相互任职或工作的；</w:t>
      </w:r>
    </w:p>
    <w:p w14:paraId="442687F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（3）磋商公告写明专门面向中小企业采购，供应商提供的服务非中小企业承接的；</w:t>
      </w:r>
    </w:p>
    <w:p w14:paraId="5AF1565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（4）要求供应商以联合体形式参加采购活动，供应商非联合体或者联合协议中中小企业合同金额未达到应当达到的比例；</w:t>
      </w:r>
    </w:p>
    <w:p w14:paraId="39E0C80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(5)要求获得采购合同的供应商向中小企业分包，供应商未提供分包意向协议或者分包意向协议中中小企业合同金额未达到应当达到的比例；</w:t>
      </w:r>
    </w:p>
    <w:p w14:paraId="65BBF89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 评标专家无法查看并检验响应文件中相关资料的；</w:t>
      </w:r>
    </w:p>
    <w:p w14:paraId="16C4906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(7)联合体投标未提交联合体协议的；</w:t>
      </w:r>
    </w:p>
    <w:p w14:paraId="1436521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(8)责令停产停业的；</w:t>
      </w:r>
    </w:p>
    <w:p w14:paraId="68B4B53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(9)暂停或取消参与政府采购项目资格的；</w:t>
      </w:r>
    </w:p>
    <w:p w14:paraId="754248C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(10)供应商单位负责人为同一人或者存在直接控股、管理关系的不同单位的；</w:t>
      </w:r>
    </w:p>
    <w:p w14:paraId="37A53D7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(11)供应商基本资格条件和特定资格条件中有一项及以上不符合要求的；</w:t>
      </w:r>
    </w:p>
    <w:p w14:paraId="72AE8C7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2</w:t>
      </w:r>
      <w:r>
        <w:rPr>
          <w:rFonts w:hint="eastAsia" w:asciiTheme="minorEastAsia" w:hAnsiTheme="minorEastAsia" w:eastAsiaTheme="minorEastAsia"/>
          <w:sz w:val="24"/>
        </w:rPr>
        <w:t xml:space="preserve">)供应商投标MAC地址或供应商联系人或联系电话相同的，由磋商小组否决其响应，并报告监管部门作不良行为处理和进一步调查； </w:t>
      </w:r>
    </w:p>
    <w:p w14:paraId="1315DD1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3</w:t>
      </w:r>
      <w:r>
        <w:rPr>
          <w:rFonts w:hint="eastAsia" w:asciiTheme="minorEastAsia" w:hAnsiTheme="minorEastAsia" w:eastAsiaTheme="minorEastAsia"/>
          <w:sz w:val="24"/>
        </w:rPr>
        <w:t xml:space="preserve">)供应商单方面出现其他供应商材料的； </w:t>
      </w:r>
    </w:p>
    <w:p w14:paraId="06B5B04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4</w:t>
      </w:r>
      <w:r>
        <w:rPr>
          <w:rFonts w:hint="eastAsia" w:asciiTheme="minorEastAsia" w:hAnsiTheme="minorEastAsia" w:eastAsiaTheme="minorEastAsia"/>
          <w:sz w:val="24"/>
        </w:rPr>
        <w:t>)其它情形，经磋商小组提出按无效响应处理；</w:t>
      </w:r>
    </w:p>
    <w:p w14:paraId="2242F6F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5</w:t>
      </w:r>
      <w:r>
        <w:rPr>
          <w:rFonts w:hint="eastAsia" w:asciiTheme="minorEastAsia" w:hAnsiTheme="minorEastAsia" w:eastAsiaTheme="minorEastAsia"/>
          <w:sz w:val="24"/>
        </w:rPr>
        <w:t>)磋商文件规定的其它无效响应情形。</w:t>
      </w:r>
    </w:p>
    <w:p w14:paraId="71DB8B1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3.3 供应商有下列情形之一的,符合性审查后其按无效响应处理：</w:t>
      </w:r>
    </w:p>
    <w:p w14:paraId="177873E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（1）响应文件签章不全，经磋商小组一致认定对开评标内容有实质性影响；</w:t>
      </w:r>
    </w:p>
    <w:p w14:paraId="4A0E596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（2）未按规定的格式填写导致实质性内容不全以及实质上不响应，或者关键字迹模糊、无法辨认；</w:t>
      </w:r>
    </w:p>
    <w:p w14:paraId="47228FE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（3）同一供应商提交两个以上不同的响应文件或者响应报价，但磋商文件规定提交备选方案的除外；</w:t>
      </w:r>
    </w:p>
    <w:p w14:paraId="2E2C845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（4）响应文件没有对磋商文件的实质性要求和条件作出响应；</w:t>
      </w:r>
    </w:p>
    <w:p w14:paraId="1A8A5D5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（5）报价超出规定的最高限价或公布的采购预算的或供应商的报价各项单价高于磋商文件给定的单价最高限价；</w:t>
      </w:r>
    </w:p>
    <w:p w14:paraId="02F55C0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（6）不按磋商小组要求澄清、说明或补正的，或者措施小组根据磋商文件的规定对响应文件的计算错误进行修正后，供应商不接受修正的报价的。</w:t>
      </w:r>
    </w:p>
    <w:p w14:paraId="5C23E9B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（7）其它情形，经磋商小组委提出按无效响应处理；</w:t>
      </w:r>
    </w:p>
    <w:p w14:paraId="5066664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（8）响应文件含有采购人不能接受的附加条件的；</w:t>
      </w:r>
    </w:p>
    <w:p w14:paraId="3FABD36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（9）磋商文件规定的其它无效响应情形。</w:t>
      </w:r>
    </w:p>
    <w:p w14:paraId="5E9C1CF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3.4 供应商有下列情形之一的, 详细评审后其按无效响应处理：</w:t>
      </w:r>
    </w:p>
    <w:p w14:paraId="0E23789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（1）产品不符合必须强制执行的国家标准的；</w:t>
      </w:r>
    </w:p>
    <w:p w14:paraId="7896309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（2）供应商有串通投标、弄虚作假、行贿等违法行为；</w:t>
      </w:r>
    </w:p>
    <w:p w14:paraId="458D3DB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（3）响应文件含有违反国家法律、法规的内容，或附有采购人不能接受的条件的；</w:t>
      </w:r>
    </w:p>
    <w:p w14:paraId="7C983BD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（4）报价明显低于其他供应商，且不能证明报价合理性的响应无效；</w:t>
      </w:r>
    </w:p>
    <w:p w14:paraId="33450F4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（5）拒不确认磋商小组评审修正的投标无效；</w:t>
      </w:r>
    </w:p>
    <w:p w14:paraId="3C55C7C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（6）其它情形，经磋商小组提出按无效响应处理；</w:t>
      </w:r>
    </w:p>
    <w:p w14:paraId="1F42006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（7）磋商文件规定的其它无效响应情形。</w:t>
      </w:r>
    </w:p>
    <w:p w14:paraId="134C8413">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br w:type="page"/>
      </w:r>
    </w:p>
    <w:p w14:paraId="078F1CBC">
      <w:pPr>
        <w:spacing w:line="360" w:lineRule="auto"/>
        <w:jc w:val="center"/>
        <w:outlineLvl w:val="0"/>
        <w:rPr>
          <w:rFonts w:asciiTheme="minorEastAsia" w:hAnsiTheme="minorEastAsia" w:eastAsiaTheme="minorEastAsia"/>
          <w:b/>
          <w:sz w:val="28"/>
        </w:rPr>
      </w:pPr>
      <w:bookmarkStart w:id="68" w:name="_Toc17167"/>
      <w:bookmarkStart w:id="69" w:name="_Toc63440929"/>
      <w:r>
        <w:rPr>
          <w:rFonts w:hint="eastAsia" w:asciiTheme="minorEastAsia" w:hAnsiTheme="minorEastAsia" w:eastAsiaTheme="minorEastAsia"/>
          <w:b/>
          <w:sz w:val="28"/>
        </w:rPr>
        <w:t xml:space="preserve">第五章  </w:t>
      </w:r>
      <w:r>
        <w:rPr>
          <w:rFonts w:asciiTheme="minorEastAsia" w:hAnsiTheme="minorEastAsia" w:eastAsiaTheme="minorEastAsia"/>
          <w:b/>
          <w:sz w:val="28"/>
        </w:rPr>
        <w:t>政府采购合同</w:t>
      </w:r>
      <w:bookmarkEnd w:id="68"/>
      <w:bookmarkEnd w:id="69"/>
    </w:p>
    <w:p w14:paraId="13AF6E3B">
      <w:pPr>
        <w:spacing w:line="480" w:lineRule="auto"/>
        <w:jc w:val="center"/>
        <w:rPr>
          <w:rFonts w:asciiTheme="minorEastAsia" w:hAnsiTheme="minorEastAsia" w:eastAsiaTheme="minorEastAsia"/>
          <w:b/>
          <w:sz w:val="24"/>
        </w:rPr>
      </w:pPr>
    </w:p>
    <w:p w14:paraId="512F7AC0">
      <w:pPr>
        <w:spacing w:line="480" w:lineRule="auto"/>
        <w:jc w:val="center"/>
        <w:rPr>
          <w:rFonts w:asciiTheme="minorEastAsia" w:hAnsiTheme="minorEastAsia" w:eastAsiaTheme="minorEastAsia"/>
          <w:b/>
          <w:sz w:val="24"/>
        </w:rPr>
      </w:pPr>
    </w:p>
    <w:p w14:paraId="29A43C94">
      <w:pPr>
        <w:spacing w:line="480" w:lineRule="auto"/>
        <w:jc w:val="center"/>
        <w:rPr>
          <w:rFonts w:asciiTheme="minorEastAsia" w:hAnsiTheme="minorEastAsia" w:eastAsiaTheme="minorEastAsia"/>
          <w:b/>
          <w:sz w:val="24"/>
        </w:rPr>
      </w:pPr>
    </w:p>
    <w:p w14:paraId="34E6C3D2">
      <w:pPr>
        <w:spacing w:line="480" w:lineRule="auto"/>
        <w:jc w:val="center"/>
        <w:outlineLvl w:val="1"/>
        <w:rPr>
          <w:rFonts w:cs="Times New Roman" w:asciiTheme="minorEastAsia" w:hAnsiTheme="minorEastAsia" w:eastAsiaTheme="minorEastAsia"/>
          <w:b/>
          <w:color w:val="000000" w:themeColor="text1"/>
          <w:sz w:val="28"/>
          <w:szCs w:val="28"/>
          <w14:textFill>
            <w14:solidFill>
              <w14:schemeClr w14:val="tx1"/>
            </w14:solidFill>
          </w14:textFill>
        </w:rPr>
      </w:pPr>
      <w:bookmarkStart w:id="70" w:name="_Toc3714"/>
      <w:bookmarkStart w:id="71" w:name="_Toc25148"/>
      <w:bookmarkStart w:id="72" w:name="_Toc2430"/>
      <w:r>
        <w:rPr>
          <w:rFonts w:cs="Times New Roman" w:asciiTheme="minorEastAsia" w:hAnsiTheme="minorEastAsia" w:eastAsiaTheme="minorEastAsia"/>
          <w:b/>
          <w:color w:val="000000" w:themeColor="text1"/>
          <w:sz w:val="28"/>
          <w:szCs w:val="28"/>
          <w14:textFill>
            <w14:solidFill>
              <w14:schemeClr w14:val="tx1"/>
            </w14:solidFill>
          </w14:textFill>
        </w:rPr>
        <w:t>政府采购合同</w:t>
      </w:r>
      <w:r>
        <w:rPr>
          <w:rFonts w:hint="eastAsia" w:cs="Times New Roman" w:asciiTheme="minorEastAsia" w:hAnsiTheme="minorEastAsia" w:eastAsiaTheme="minorEastAsia"/>
          <w:b/>
          <w:color w:val="000000" w:themeColor="text1"/>
          <w:sz w:val="28"/>
          <w:szCs w:val="28"/>
          <w14:textFill>
            <w14:solidFill>
              <w14:schemeClr w14:val="tx1"/>
            </w14:solidFill>
          </w14:textFill>
        </w:rPr>
        <w:t>参考范本</w:t>
      </w:r>
      <w:bookmarkEnd w:id="70"/>
    </w:p>
    <w:p w14:paraId="53ED9FD3">
      <w:pPr>
        <w:spacing w:line="480" w:lineRule="auto"/>
        <w:jc w:val="center"/>
        <w:outlineLvl w:val="1"/>
        <w:rPr>
          <w:rFonts w:cs="Times New Roman" w:asciiTheme="minorEastAsia" w:hAnsiTheme="minorEastAsia" w:eastAsiaTheme="minorEastAsia"/>
          <w:b/>
          <w:color w:val="000000" w:themeColor="text1"/>
          <w:sz w:val="28"/>
          <w:szCs w:val="28"/>
          <w14:textFill>
            <w14:solidFill>
              <w14:schemeClr w14:val="tx1"/>
            </w14:solidFill>
          </w14:textFill>
        </w:rPr>
      </w:pPr>
      <w:bookmarkStart w:id="73" w:name="_Toc8560"/>
      <w:r>
        <w:rPr>
          <w:rFonts w:hint="eastAsia" w:cs="Times New Roman" w:asciiTheme="minorEastAsia" w:hAnsiTheme="minorEastAsia" w:eastAsiaTheme="minorEastAsia"/>
          <w:b/>
          <w:color w:val="000000" w:themeColor="text1"/>
          <w:sz w:val="28"/>
          <w:szCs w:val="28"/>
          <w14:textFill>
            <w14:solidFill>
              <w14:schemeClr w14:val="tx1"/>
            </w14:solidFill>
          </w14:textFill>
        </w:rPr>
        <w:t>（服务类）</w:t>
      </w:r>
      <w:bookmarkEnd w:id="73"/>
    </w:p>
    <w:p w14:paraId="7411ED43">
      <w:pPr>
        <w:spacing w:line="480" w:lineRule="auto"/>
        <w:jc w:val="center"/>
        <w:rPr>
          <w:rFonts w:cs="Times New Roman" w:asciiTheme="minorEastAsia" w:hAnsiTheme="minorEastAsia" w:eastAsiaTheme="minorEastAsia"/>
          <w:b/>
          <w:color w:val="000000" w:themeColor="text1"/>
          <w:sz w:val="24"/>
          <w:szCs w:val="24"/>
          <w14:textFill>
            <w14:solidFill>
              <w14:schemeClr w14:val="tx1"/>
            </w14:solidFill>
          </w14:textFill>
        </w:rPr>
      </w:pPr>
    </w:p>
    <w:p w14:paraId="3B329CEE">
      <w:pPr>
        <w:spacing w:line="480" w:lineRule="auto"/>
        <w:jc w:val="center"/>
        <w:rPr>
          <w:rFonts w:cs="Times New Roman" w:asciiTheme="minorEastAsia" w:hAnsiTheme="minorEastAsia" w:eastAsiaTheme="minorEastAsia"/>
          <w:b/>
          <w:color w:val="000000" w:themeColor="text1"/>
          <w:sz w:val="24"/>
          <w:szCs w:val="24"/>
          <w14:textFill>
            <w14:solidFill>
              <w14:schemeClr w14:val="tx1"/>
            </w14:solidFill>
          </w14:textFill>
        </w:rPr>
      </w:pPr>
    </w:p>
    <w:p w14:paraId="36DF4A89">
      <w:pPr>
        <w:spacing w:line="480" w:lineRule="auto"/>
        <w:jc w:val="center"/>
        <w:rPr>
          <w:rFonts w:cs="Times New Roman" w:asciiTheme="minorEastAsia" w:hAnsiTheme="minorEastAsia" w:eastAsiaTheme="minorEastAsia"/>
          <w:b/>
          <w:color w:val="000000" w:themeColor="text1"/>
          <w:sz w:val="24"/>
          <w:szCs w:val="24"/>
          <w14:textFill>
            <w14:solidFill>
              <w14:schemeClr w14:val="tx1"/>
            </w14:solidFill>
          </w14:textFill>
        </w:rPr>
      </w:pPr>
    </w:p>
    <w:p w14:paraId="73E50CEF">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74" w:name="_Toc2449"/>
      <w:r>
        <w:rPr>
          <w:rFonts w:hint="eastAsia" w:asciiTheme="minorEastAsia" w:hAnsiTheme="minorEastAsia" w:eastAsiaTheme="minorEastAsia"/>
          <w:b/>
          <w:color w:val="000000" w:themeColor="text1"/>
          <w:sz w:val="24"/>
          <w14:textFill>
            <w14:solidFill>
              <w14:schemeClr w14:val="tx1"/>
            </w14:solidFill>
          </w14:textFill>
        </w:rPr>
        <w:t>第一部分 合同书</w:t>
      </w:r>
      <w:bookmarkEnd w:id="74"/>
    </w:p>
    <w:p w14:paraId="36681ED8">
      <w:pPr>
        <w:spacing w:line="480" w:lineRule="auto"/>
        <w:jc w:val="center"/>
        <w:rPr>
          <w:rFonts w:cs="Times New Roman" w:asciiTheme="minorEastAsia" w:hAnsiTheme="minorEastAsia" w:eastAsiaTheme="minorEastAsia"/>
          <w:b/>
          <w:color w:val="000000" w:themeColor="text1"/>
          <w:sz w:val="24"/>
          <w:szCs w:val="24"/>
          <w14:textFill>
            <w14:solidFill>
              <w14:schemeClr w14:val="tx1"/>
            </w14:solidFill>
          </w14:textFill>
        </w:rPr>
      </w:pPr>
    </w:p>
    <w:p w14:paraId="29C81714">
      <w:pPr>
        <w:spacing w:line="480" w:lineRule="auto"/>
        <w:jc w:val="center"/>
        <w:rPr>
          <w:rFonts w:cs="Times New Roman" w:asciiTheme="minorEastAsia" w:hAnsiTheme="minorEastAsia" w:eastAsiaTheme="minorEastAsia"/>
          <w:b/>
          <w:color w:val="000000" w:themeColor="text1"/>
          <w:sz w:val="24"/>
          <w:szCs w:val="24"/>
          <w14:textFill>
            <w14:solidFill>
              <w14:schemeClr w14:val="tx1"/>
            </w14:solidFill>
          </w14:textFill>
        </w:rPr>
      </w:pPr>
    </w:p>
    <w:p w14:paraId="18F55557">
      <w:pPr>
        <w:pStyle w:val="12"/>
      </w:pPr>
    </w:p>
    <w:p w14:paraId="5E767E81">
      <w:pPr>
        <w:pStyle w:val="12"/>
      </w:pPr>
    </w:p>
    <w:p w14:paraId="25E8A12E">
      <w:pPr>
        <w:spacing w:before="120" w:line="480" w:lineRule="auto"/>
        <w:ind w:left="960"/>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项目名称：《皮影也科技》展览巡展滁州市科学技术馆服务项目</w:t>
      </w:r>
    </w:p>
    <w:p w14:paraId="5B4495C0">
      <w:pPr>
        <w:spacing w:before="120" w:line="480" w:lineRule="auto"/>
        <w:ind w:left="960"/>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项目编号：</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                   </w:t>
      </w:r>
    </w:p>
    <w:p w14:paraId="58E4743C">
      <w:pPr>
        <w:spacing w:before="120" w:line="480" w:lineRule="auto"/>
        <w:ind w:left="960"/>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甲方（采购人）：</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滁州市科学技术馆    </w:t>
      </w:r>
    </w:p>
    <w:p w14:paraId="6989D45E">
      <w:pPr>
        <w:spacing w:before="120" w:line="480" w:lineRule="auto"/>
        <w:ind w:left="960"/>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乙方（中标人）：</w:t>
      </w:r>
      <w:r>
        <w:rPr>
          <w:rFonts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p>
    <w:p w14:paraId="084E3E10">
      <w:pPr>
        <w:spacing w:before="120" w:line="480" w:lineRule="auto"/>
        <w:ind w:firstLine="960" w:firstLineChars="400"/>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签订地：</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滁州市                      </w:t>
      </w:r>
    </w:p>
    <w:p w14:paraId="46D57F63">
      <w:pPr>
        <w:spacing w:before="120" w:line="480" w:lineRule="auto"/>
        <w:ind w:firstLine="960" w:firstLineChars="400"/>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签订日期：</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年</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月</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日</w:t>
      </w:r>
    </w:p>
    <w:p w14:paraId="4F0FB490">
      <w:pPr>
        <w:widowControl/>
        <w:jc w:val="left"/>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br w:type="page"/>
      </w:r>
    </w:p>
    <w:p w14:paraId="6C32A984">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u w:val="single"/>
          <w14:textFill>
            <w14:solidFill>
              <w14:schemeClr w14:val="tx1"/>
            </w14:solidFill>
          </w14:textFill>
        </w:rPr>
        <w:t xml:space="preserve"> 滁州市科学技术馆 </w:t>
      </w:r>
      <w:r>
        <w:rPr>
          <w:rFonts w:hint="eastAsia" w:asciiTheme="minorEastAsia" w:hAnsiTheme="minorEastAsia" w:eastAsiaTheme="minorEastAsia"/>
          <w:color w:val="000000" w:themeColor="text1"/>
          <w:sz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以下简称：甲方</w:t>
      </w:r>
      <w:r>
        <w:rPr>
          <w:rFonts w:hint="eastAsia" w:asciiTheme="minorEastAsia" w:hAnsiTheme="minorEastAsia" w:eastAsiaTheme="minorEastAsia"/>
          <w:color w:val="000000" w:themeColor="text1"/>
          <w:sz w:val="24"/>
          <w14:textFill>
            <w14:solidFill>
              <w14:schemeClr w14:val="tx1"/>
            </w14:solidFill>
          </w14:textFill>
        </w:rPr>
        <w:t>）通过</w:t>
      </w:r>
      <w:r>
        <w:rPr>
          <w:rFonts w:hint="eastAsia" w:asciiTheme="minorEastAsia" w:hAnsiTheme="minorEastAsia" w:eastAsiaTheme="minorEastAsia"/>
          <w:color w:val="000000" w:themeColor="text1"/>
          <w:sz w:val="24"/>
          <w:u w:val="single"/>
          <w14:textFill>
            <w14:solidFill>
              <w14:schemeClr w14:val="tx1"/>
            </w14:solidFill>
          </w14:textFill>
        </w:rPr>
        <w:t xml:space="preserve"> 安徽凯泰工程项目管理有限公司</w:t>
      </w:r>
      <w:r>
        <w:rPr>
          <w:rFonts w:hint="eastAsia" w:asciiTheme="minorEastAsia" w:hAnsiTheme="minorEastAsia" w:eastAsiaTheme="minorEastAsia"/>
          <w:color w:val="000000" w:themeColor="text1"/>
          <w:sz w:val="24"/>
          <w14:textFill>
            <w14:solidFill>
              <w14:schemeClr w14:val="tx1"/>
            </w14:solidFill>
          </w14:textFill>
        </w:rPr>
        <w:t>组织的</w:t>
      </w:r>
      <w:r>
        <w:rPr>
          <w:rFonts w:hint="eastAsia" w:asciiTheme="minorEastAsia" w:hAnsiTheme="minorEastAsia" w:eastAsiaTheme="minorEastAsia"/>
          <w:color w:val="000000" w:themeColor="text1"/>
          <w:sz w:val="24"/>
          <w:u w:val="single"/>
          <w14:textFill>
            <w14:solidFill>
              <w14:schemeClr w14:val="tx1"/>
            </w14:solidFill>
          </w14:textFill>
        </w:rPr>
        <w:t>竞争性磋商</w:t>
      </w:r>
      <w:r>
        <w:rPr>
          <w:rFonts w:hint="eastAsia" w:asciiTheme="minorEastAsia" w:hAnsiTheme="minorEastAsia" w:eastAsiaTheme="minorEastAsia"/>
          <w:color w:val="000000" w:themeColor="text1"/>
          <w:sz w:val="24"/>
          <w14:textFill>
            <w14:solidFill>
              <w14:schemeClr w14:val="tx1"/>
            </w14:solidFill>
          </w14:textFill>
        </w:rPr>
        <w:t>方式采购活动，经</w:t>
      </w:r>
      <w:r>
        <w:rPr>
          <w:rFonts w:hint="eastAsia" w:asciiTheme="minorEastAsia" w:hAnsiTheme="minorEastAsia" w:eastAsiaTheme="minorEastAsia"/>
          <w:color w:val="000000" w:themeColor="text1"/>
          <w:sz w:val="24"/>
          <w:u w:val="single"/>
          <w14:textFill>
            <w14:solidFill>
              <w14:schemeClr w14:val="tx1"/>
            </w14:solidFill>
          </w14:textFill>
        </w:rPr>
        <w:t>评标委员会</w:t>
      </w:r>
      <w:r>
        <w:rPr>
          <w:rFonts w:hint="eastAsia" w:asciiTheme="minorEastAsia" w:hAnsiTheme="minorEastAsia" w:eastAsiaTheme="minorEastAsia"/>
          <w:color w:val="000000" w:themeColor="text1"/>
          <w:sz w:val="24"/>
          <w14:textFill>
            <w14:solidFill>
              <w14:schemeClr w14:val="tx1"/>
            </w14:solidFill>
          </w14:textFill>
        </w:rPr>
        <w:t>评定，</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以下简称：乙方</w:t>
      </w:r>
      <w:r>
        <w:rPr>
          <w:rFonts w:hint="eastAsia" w:asciiTheme="minorEastAsia" w:hAnsiTheme="minorEastAsia" w:eastAsiaTheme="minorEastAsia"/>
          <w:color w:val="000000" w:themeColor="text1"/>
          <w:sz w:val="24"/>
          <w14:textFill>
            <w14:solidFill>
              <w14:schemeClr w14:val="tx1"/>
            </w14:solidFill>
          </w14:textFill>
        </w:rPr>
        <w:t>）为本项目中标人，现</w:t>
      </w:r>
      <w:r>
        <w:rPr>
          <w:rFonts w:hint="eastAsia" w:cs="Times New Roman" w:asciiTheme="minorEastAsia" w:hAnsiTheme="minorEastAsia" w:eastAsiaTheme="minorEastAsia"/>
          <w:color w:val="000000" w:themeColor="text1"/>
          <w:sz w:val="24"/>
          <w:szCs w:val="24"/>
          <w14:textFill>
            <w14:solidFill>
              <w14:schemeClr w14:val="tx1"/>
            </w14:solidFill>
          </w14:textFill>
        </w:rPr>
        <w:t>按照采购文件确定的事项签订本合同。</w:t>
      </w:r>
    </w:p>
    <w:p w14:paraId="0F6D7154">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根据《中华人民共和国民法典》、《中华人民共和国政府采购法》等相关法律法规之规定，按照平等、自愿、公平和诚实信用的原则，经甲方和乙方协商一致，约定以下合同条款，以兹共同遵守、全面履行。</w:t>
      </w:r>
    </w:p>
    <w:p w14:paraId="34595E54">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75" w:name="_Toc3029"/>
      <w:bookmarkStart w:id="76" w:name="_Toc24059"/>
      <w:bookmarkStart w:id="77" w:name="_Toc2232"/>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合同组成部分</w:t>
      </w:r>
      <w:bookmarkEnd w:id="75"/>
      <w:bookmarkEnd w:id="76"/>
      <w:bookmarkEnd w:id="77"/>
    </w:p>
    <w:p w14:paraId="268D420F">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4EACB0FE">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1.1.1本合同及其补充合同、变更协议；</w:t>
      </w:r>
    </w:p>
    <w:p w14:paraId="4772FEB2">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1.1.2中标通知书；</w:t>
      </w:r>
    </w:p>
    <w:p w14:paraId="7F587B87">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1.1.3投标文件（含澄清或者说明文件）；</w:t>
      </w:r>
    </w:p>
    <w:p w14:paraId="38A5EB95">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1.1.4招标文件（含澄清或者修改文件）；</w:t>
      </w:r>
    </w:p>
    <w:p w14:paraId="1A8956AA">
      <w:pPr>
        <w:spacing w:line="360" w:lineRule="auto"/>
        <w:ind w:firstLine="435"/>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1.1.5其他相关采购文件。</w:t>
      </w:r>
    </w:p>
    <w:p w14:paraId="694BA3B7">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78" w:name="_Toc6773"/>
      <w:bookmarkStart w:id="79" w:name="_Toc22185"/>
      <w:bookmarkStart w:id="80" w:name="_Toc6311"/>
      <w:bookmarkStart w:id="81" w:name="_Toc18585"/>
      <w:bookmarkStart w:id="82" w:name="_Toc2918"/>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1.2 </w:t>
      </w:r>
      <w:bookmarkEnd w:id="78"/>
      <w:bookmarkEnd w:id="79"/>
      <w:bookmarkEnd w:id="80"/>
      <w:bookmarkEnd w:id="81"/>
      <w:bookmarkEnd w:id="82"/>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服务</w:t>
      </w:r>
    </w:p>
    <w:p w14:paraId="69D9FD08">
      <w:pPr>
        <w:spacing w:line="360" w:lineRule="auto"/>
        <w:ind w:firstLine="435"/>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1.2.1服务</w:t>
      </w:r>
      <w:r>
        <w:rPr>
          <w:rFonts w:cs="Times New Roman" w:asciiTheme="minorEastAsia" w:hAnsiTheme="minorEastAsia" w:eastAsiaTheme="minorEastAsia"/>
          <w:color w:val="000000" w:themeColor="text1"/>
          <w:sz w:val="24"/>
          <w:szCs w:val="24"/>
          <w14:textFill>
            <w14:solidFill>
              <w14:schemeClr w14:val="tx1"/>
            </w14:solidFill>
          </w14:textFill>
        </w:rPr>
        <w:t>名称：</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《皮影也科技》展览巡展滁州市科学技术馆服务项目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7E346851">
      <w:pPr>
        <w:spacing w:line="360" w:lineRule="auto"/>
        <w:ind w:firstLine="435"/>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1.2.2服务内容</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项目主要实施内容为通过图文解说、多媒体互动等手段,让观众充分了解什么是皮影戏，皮影戏的起源与发展以及中国古人对光影的认知与应用。</w:t>
      </w:r>
    </w:p>
    <w:p w14:paraId="56130691">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1.2.3服务质量：</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满足竞争性磋商文件要求、满足考核相关要求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2FD327CF">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83" w:name="_Toc23292"/>
      <w:bookmarkStart w:id="84" w:name="_Toc21551"/>
      <w:bookmarkStart w:id="85" w:name="_Toc21631"/>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3 </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价款</w:t>
      </w:r>
      <w:bookmarkEnd w:id="83"/>
      <w:bookmarkEnd w:id="84"/>
      <w:bookmarkEnd w:id="85"/>
    </w:p>
    <w:p w14:paraId="50A2C7E3">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本合同总价为</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14:textFill>
            <w14:solidFill>
              <w14:schemeClr w14:val="tx1"/>
            </w14:solidFill>
          </w14:textFill>
        </w:rPr>
        <w:t>元</w:t>
      </w:r>
      <w:r>
        <w:rPr>
          <w:rFonts w:hint="eastAsia" w:cs="Times New Roman" w:asciiTheme="minorEastAsia" w:hAnsiTheme="minorEastAsia" w:eastAsiaTheme="minorEastAsia"/>
          <w:color w:val="000000" w:themeColor="text1"/>
          <w:sz w:val="24"/>
          <w:szCs w:val="24"/>
          <w14:textFill>
            <w14:solidFill>
              <w14:schemeClr w14:val="tx1"/>
            </w14:solidFill>
          </w14:textFill>
        </w:rPr>
        <w:t>（大写：人民币</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元）</w:t>
      </w:r>
      <w:r>
        <w:rPr>
          <w:rFonts w:cs="Times New Roman" w:asciiTheme="minorEastAsia" w:hAnsiTheme="minorEastAsia" w:eastAsiaTheme="minorEastAsia"/>
          <w:color w:val="000000" w:themeColor="text1"/>
          <w:sz w:val="24"/>
          <w:szCs w:val="24"/>
          <w14:textFill>
            <w14:solidFill>
              <w14:schemeClr w14:val="tx1"/>
            </w14:solidFill>
          </w14:textFill>
        </w:rPr>
        <w:t>。</w:t>
      </w:r>
    </w:p>
    <w:p w14:paraId="24D931FF">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分项价格：</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1CE4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2928FEF7">
            <w:pPr>
              <w:pStyle w:val="43"/>
              <w:ind w:firstLine="0" w:firstLineChars="0"/>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序号</w:t>
            </w:r>
          </w:p>
        </w:tc>
        <w:tc>
          <w:tcPr>
            <w:tcW w:w="4316" w:type="dxa"/>
            <w:vAlign w:val="center"/>
          </w:tcPr>
          <w:p w14:paraId="20D4BB49">
            <w:pPr>
              <w:pStyle w:val="43"/>
              <w:ind w:firstLine="48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分项名称</w:t>
            </w:r>
          </w:p>
        </w:tc>
        <w:tc>
          <w:tcPr>
            <w:tcW w:w="3237" w:type="dxa"/>
            <w:gridSpan w:val="2"/>
            <w:vAlign w:val="center"/>
          </w:tcPr>
          <w:p w14:paraId="6DC0EEA2">
            <w:pPr>
              <w:pStyle w:val="43"/>
              <w:ind w:firstLine="480"/>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分项价格</w:t>
            </w:r>
          </w:p>
        </w:tc>
      </w:tr>
      <w:tr w14:paraId="3847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0F5B8571">
            <w:pPr>
              <w:pStyle w:val="43"/>
              <w:ind w:firstLine="48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w:t>
            </w:r>
          </w:p>
        </w:tc>
        <w:tc>
          <w:tcPr>
            <w:tcW w:w="4316" w:type="dxa"/>
            <w:vAlign w:val="center"/>
          </w:tcPr>
          <w:p w14:paraId="4D1BF630">
            <w:pPr>
              <w:pStyle w:val="43"/>
              <w:ind w:firstLine="480"/>
              <w:jc w:val="center"/>
              <w:rPr>
                <w:rFonts w:asciiTheme="minorEastAsia" w:hAnsiTheme="minorEastAsia" w:eastAsiaTheme="minorEastAsia"/>
                <w:color w:val="000000" w:themeColor="text1"/>
                <w14:textFill>
                  <w14:solidFill>
                    <w14:schemeClr w14:val="tx1"/>
                  </w14:solidFill>
                </w14:textFill>
              </w:rPr>
            </w:pPr>
          </w:p>
        </w:tc>
        <w:tc>
          <w:tcPr>
            <w:tcW w:w="3237" w:type="dxa"/>
            <w:gridSpan w:val="2"/>
            <w:vAlign w:val="center"/>
          </w:tcPr>
          <w:p w14:paraId="48536B60">
            <w:pPr>
              <w:pStyle w:val="43"/>
              <w:ind w:firstLine="480"/>
              <w:jc w:val="center"/>
              <w:rPr>
                <w:rFonts w:asciiTheme="minorEastAsia" w:hAnsiTheme="minorEastAsia" w:eastAsiaTheme="minorEastAsia"/>
                <w:color w:val="000000" w:themeColor="text1"/>
                <w14:textFill>
                  <w14:solidFill>
                    <w14:schemeClr w14:val="tx1"/>
                  </w14:solidFill>
                </w14:textFill>
              </w:rPr>
            </w:pPr>
          </w:p>
        </w:tc>
      </w:tr>
      <w:tr w14:paraId="35DB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304BB5AF">
            <w:pPr>
              <w:pStyle w:val="43"/>
              <w:ind w:firstLine="48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w:t>
            </w:r>
          </w:p>
        </w:tc>
        <w:tc>
          <w:tcPr>
            <w:tcW w:w="4316" w:type="dxa"/>
            <w:vAlign w:val="center"/>
          </w:tcPr>
          <w:p w14:paraId="589217B6">
            <w:pPr>
              <w:pStyle w:val="43"/>
              <w:ind w:firstLine="480"/>
              <w:jc w:val="center"/>
              <w:rPr>
                <w:rFonts w:asciiTheme="minorEastAsia" w:hAnsiTheme="minorEastAsia" w:eastAsiaTheme="minorEastAsia"/>
                <w:color w:val="000000" w:themeColor="text1"/>
                <w14:textFill>
                  <w14:solidFill>
                    <w14:schemeClr w14:val="tx1"/>
                  </w14:solidFill>
                </w14:textFill>
              </w:rPr>
            </w:pPr>
          </w:p>
        </w:tc>
        <w:tc>
          <w:tcPr>
            <w:tcW w:w="3237" w:type="dxa"/>
            <w:gridSpan w:val="2"/>
            <w:vAlign w:val="center"/>
          </w:tcPr>
          <w:p w14:paraId="4F323F69">
            <w:pPr>
              <w:pStyle w:val="43"/>
              <w:ind w:firstLine="480"/>
              <w:jc w:val="center"/>
              <w:rPr>
                <w:rFonts w:asciiTheme="minorEastAsia" w:hAnsiTheme="minorEastAsia" w:eastAsiaTheme="minorEastAsia"/>
                <w:color w:val="000000" w:themeColor="text1"/>
                <w14:textFill>
                  <w14:solidFill>
                    <w14:schemeClr w14:val="tx1"/>
                  </w14:solidFill>
                </w14:textFill>
              </w:rPr>
            </w:pPr>
          </w:p>
        </w:tc>
      </w:tr>
      <w:tr w14:paraId="3A8E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0F8D5F01">
            <w:pPr>
              <w:pStyle w:val="43"/>
              <w:ind w:firstLine="480"/>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w:t>
            </w:r>
          </w:p>
        </w:tc>
        <w:tc>
          <w:tcPr>
            <w:tcW w:w="4316" w:type="dxa"/>
            <w:vAlign w:val="center"/>
          </w:tcPr>
          <w:p w14:paraId="73148A58">
            <w:pPr>
              <w:pStyle w:val="43"/>
              <w:ind w:firstLine="480"/>
              <w:jc w:val="center"/>
              <w:rPr>
                <w:rFonts w:asciiTheme="minorEastAsia" w:hAnsiTheme="minorEastAsia" w:eastAsiaTheme="minorEastAsia"/>
                <w:color w:val="000000" w:themeColor="text1"/>
                <w14:textFill>
                  <w14:solidFill>
                    <w14:schemeClr w14:val="tx1"/>
                  </w14:solidFill>
                </w14:textFill>
              </w:rPr>
            </w:pPr>
          </w:p>
        </w:tc>
        <w:tc>
          <w:tcPr>
            <w:tcW w:w="3237" w:type="dxa"/>
            <w:gridSpan w:val="2"/>
            <w:vAlign w:val="center"/>
          </w:tcPr>
          <w:p w14:paraId="7684FFE0">
            <w:pPr>
              <w:pStyle w:val="43"/>
              <w:ind w:firstLine="480"/>
              <w:jc w:val="center"/>
              <w:rPr>
                <w:rFonts w:asciiTheme="minorEastAsia" w:hAnsiTheme="minorEastAsia" w:eastAsiaTheme="minorEastAsia"/>
                <w:color w:val="000000" w:themeColor="text1"/>
                <w14:textFill>
                  <w14:solidFill>
                    <w14:schemeClr w14:val="tx1"/>
                  </w14:solidFill>
                </w14:textFill>
              </w:rPr>
            </w:pPr>
          </w:p>
        </w:tc>
      </w:tr>
      <w:tr w14:paraId="2DE7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0327F574">
            <w:pPr>
              <w:pStyle w:val="43"/>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4316" w:type="dxa"/>
            <w:vAlign w:val="center"/>
          </w:tcPr>
          <w:p w14:paraId="165C9EC2">
            <w:pPr>
              <w:pStyle w:val="43"/>
              <w:ind w:firstLine="480"/>
              <w:jc w:val="center"/>
              <w:rPr>
                <w:rFonts w:asciiTheme="minorEastAsia" w:hAnsiTheme="minorEastAsia" w:eastAsiaTheme="minorEastAsia"/>
                <w:color w:val="000000" w:themeColor="text1"/>
                <w14:textFill>
                  <w14:solidFill>
                    <w14:schemeClr w14:val="tx1"/>
                  </w14:solidFill>
                </w14:textFill>
              </w:rPr>
            </w:pPr>
          </w:p>
        </w:tc>
        <w:tc>
          <w:tcPr>
            <w:tcW w:w="3237" w:type="dxa"/>
            <w:gridSpan w:val="2"/>
            <w:vAlign w:val="center"/>
          </w:tcPr>
          <w:p w14:paraId="1A469970">
            <w:pPr>
              <w:pStyle w:val="43"/>
              <w:ind w:firstLine="480"/>
              <w:jc w:val="center"/>
              <w:rPr>
                <w:rFonts w:asciiTheme="minorEastAsia" w:hAnsiTheme="minorEastAsia" w:eastAsiaTheme="minorEastAsia"/>
                <w:color w:val="000000" w:themeColor="text1"/>
                <w14:textFill>
                  <w14:solidFill>
                    <w14:schemeClr w14:val="tx1"/>
                  </w14:solidFill>
                </w14:textFill>
              </w:rPr>
            </w:pPr>
          </w:p>
        </w:tc>
      </w:tr>
      <w:tr w14:paraId="4632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5F3DB6CB">
            <w:pPr>
              <w:pStyle w:val="43"/>
              <w:ind w:firstLine="48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总价</w:t>
            </w:r>
          </w:p>
        </w:tc>
        <w:tc>
          <w:tcPr>
            <w:tcW w:w="3237" w:type="dxa"/>
            <w:gridSpan w:val="2"/>
            <w:vAlign w:val="center"/>
          </w:tcPr>
          <w:p w14:paraId="49F8337F">
            <w:pPr>
              <w:pStyle w:val="43"/>
              <w:ind w:firstLine="480"/>
              <w:jc w:val="center"/>
              <w:rPr>
                <w:rFonts w:asciiTheme="minorEastAsia" w:hAnsiTheme="minorEastAsia" w:eastAsiaTheme="minorEastAsia"/>
                <w:color w:val="000000" w:themeColor="text1"/>
                <w14:textFill>
                  <w14:solidFill>
                    <w14:schemeClr w14:val="tx1"/>
                  </w14:solidFill>
                </w14:textFill>
              </w:rPr>
            </w:pPr>
          </w:p>
        </w:tc>
      </w:tr>
    </w:tbl>
    <w:p w14:paraId="65E7C8B9">
      <w:pPr>
        <w:pStyle w:val="43"/>
        <w:ind w:firstLine="480"/>
      </w:pPr>
    </w:p>
    <w:p w14:paraId="6D85EA43">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86" w:name="_Toc10340"/>
      <w:bookmarkStart w:id="87" w:name="_Toc22618"/>
      <w:bookmarkStart w:id="88" w:name="_Toc1814"/>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4 付款方式和发票开具方式</w:t>
      </w:r>
      <w:bookmarkEnd w:id="86"/>
      <w:bookmarkEnd w:id="87"/>
      <w:bookmarkEnd w:id="88"/>
    </w:p>
    <w:p w14:paraId="505E9C6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1.4.1</w:t>
      </w:r>
      <w:r>
        <w:rPr>
          <w:rFonts w:cs="Times New Roman" w:asciiTheme="minorEastAsia" w:hAnsiTheme="minorEastAsia" w:eastAsiaTheme="minorEastAsia"/>
          <w:color w:val="000000" w:themeColor="text1"/>
          <w:sz w:val="24"/>
          <w:szCs w:val="24"/>
          <w14:textFill>
            <w14:solidFill>
              <w14:schemeClr w14:val="tx1"/>
            </w14:solidFill>
          </w14:textFill>
        </w:rPr>
        <w:t>付款方式：</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合同签订生效并具备实施条件后5个工作日内支付合同价款的40% 预付款，提交最终结果资料、项目全部完成并通过验收后支付至结算价款的100%。所有相关费用包含在项目款项中，不再另行支付。（维保期约4个月）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10C7972D">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1.4.2发票开具方式：</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开具符合要求的发票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183C64BA">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89" w:name="_Toc2846"/>
      <w:bookmarkStart w:id="90" w:name="_Toc19304"/>
      <w:bookmarkStart w:id="91" w:name="_Toc32071"/>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5 </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服务</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期限</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、地点和方式</w:t>
      </w:r>
      <w:bookmarkEnd w:id="89"/>
      <w:bookmarkEnd w:id="90"/>
      <w:bookmarkEnd w:id="91"/>
    </w:p>
    <w:p w14:paraId="7C2CCB3A">
      <w:pPr>
        <w:spacing w:line="360" w:lineRule="auto"/>
        <w:ind w:firstLine="435"/>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1.5.1服务期限</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67A643E2">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1.5.2服务地点</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滁州市科学技术馆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5A021854">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1.5.3服务方式：</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1A8F3A12">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92" w:name="_Toc21423"/>
      <w:bookmarkStart w:id="93" w:name="_Toc27250"/>
      <w:bookmarkStart w:id="94" w:name="_Toc19554"/>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1.6 违约责任</w:t>
      </w:r>
      <w:bookmarkEnd w:id="92"/>
      <w:bookmarkEnd w:id="93"/>
      <w:bookmarkEnd w:id="94"/>
    </w:p>
    <w:p w14:paraId="2BA3E3AE">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1.6.1</w:t>
      </w:r>
      <w:r>
        <w:rPr>
          <w:rFonts w:cs="Times New Roman" w:asciiTheme="minorEastAsia" w:hAnsiTheme="minorEastAsia" w:eastAsiaTheme="minorEastAsia"/>
          <w:color w:val="000000" w:themeColor="text1"/>
          <w:sz w:val="24"/>
          <w:szCs w:val="24"/>
          <w14:textFill>
            <w14:solidFill>
              <w14:schemeClr w14:val="tx1"/>
            </w14:solidFill>
          </w14:textFill>
        </w:rPr>
        <w:t>除不可抗力外，如果乙方没有按照本合同约定的期限</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地点和方式</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，那么甲方可要求乙方支付违约金</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违约金按每迟延</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一日的应提供而未</w:t>
      </w:r>
      <w:r>
        <w:rPr>
          <w:rFonts w:hint="eastAsia" w:cs="Times New Roman" w:asciiTheme="minorEastAsia" w:hAnsiTheme="minorEastAsia" w:eastAsiaTheme="minorEastAsia"/>
          <w:color w:val="000000" w:themeColor="text1"/>
          <w:sz w:val="24"/>
          <w:szCs w:val="24"/>
          <w14:textFill>
            <w14:solidFill>
              <w14:schemeClr w14:val="tx1"/>
            </w14:solidFill>
          </w14:textFill>
        </w:rPr>
        <w:t>提供</w:t>
      </w:r>
      <w:r>
        <w:rPr>
          <w:rFonts w:cs="Times New Roman" w:asciiTheme="minorEastAsia" w:hAnsiTheme="minorEastAsia" w:eastAsiaTheme="minorEastAsia"/>
          <w:color w:val="000000" w:themeColor="text1"/>
          <w:sz w:val="24"/>
          <w:szCs w:val="24"/>
          <w14:textFill>
            <w14:solidFill>
              <w14:schemeClr w14:val="tx1"/>
            </w14:solidFill>
          </w14:textFill>
        </w:rPr>
        <w:t>服务价格的</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1  </w:t>
      </w:r>
      <w:r>
        <w:rPr>
          <w:rFonts w:cs="Times New Roman" w:asciiTheme="minorEastAsia" w:hAnsiTheme="minorEastAsia" w:eastAsiaTheme="minorEastAsia"/>
          <w:color w:val="000000" w:themeColor="text1"/>
          <w:sz w:val="24"/>
          <w:szCs w:val="24"/>
          <w14:textFill>
            <w14:solidFill>
              <w14:schemeClr w14:val="tx1"/>
            </w14:solidFill>
          </w14:textFill>
        </w:rPr>
        <w:t>%计算</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最高限额为</w:t>
      </w:r>
      <w:r>
        <w:rPr>
          <w:rFonts w:hint="eastAsia" w:cs="Times New Roman" w:asciiTheme="minorEastAsia" w:hAnsiTheme="minorEastAsia" w:eastAsiaTheme="minorEastAsia"/>
          <w:color w:val="000000" w:themeColor="text1"/>
          <w:sz w:val="24"/>
          <w:szCs w:val="24"/>
          <w14:textFill>
            <w14:solidFill>
              <w14:schemeClr w14:val="tx1"/>
            </w14:solidFill>
          </w14:textFill>
        </w:rPr>
        <w:t>本</w:t>
      </w:r>
      <w:r>
        <w:rPr>
          <w:rFonts w:cs="Times New Roman" w:asciiTheme="minorEastAsia" w:hAnsiTheme="minorEastAsia" w:eastAsiaTheme="minorEastAsia"/>
          <w:color w:val="000000" w:themeColor="text1"/>
          <w:sz w:val="24"/>
          <w:szCs w:val="24"/>
          <w14:textFill>
            <w14:solidFill>
              <w14:schemeClr w14:val="tx1"/>
            </w14:solidFill>
          </w14:textFill>
        </w:rPr>
        <w:t>合同总价的</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10   </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迟延</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的违约金计算数额达到前述最高限额之日起</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甲方有权在要求乙方支付违约金的同时</w:t>
      </w:r>
      <w:r>
        <w:rPr>
          <w:rFonts w:hint="eastAsia" w:cs="Times New Roman" w:asciiTheme="minorEastAsia" w:hAnsiTheme="minorEastAsia" w:eastAsiaTheme="minorEastAsia"/>
          <w:color w:val="000000" w:themeColor="text1"/>
          <w:sz w:val="24"/>
          <w:szCs w:val="24"/>
          <w14:textFill>
            <w14:solidFill>
              <w14:schemeClr w14:val="tx1"/>
            </w14:solidFill>
          </w14:textFill>
        </w:rPr>
        <w:t>，书面通知乙方</w:t>
      </w:r>
      <w:r>
        <w:rPr>
          <w:rFonts w:cs="Times New Roman" w:asciiTheme="minorEastAsia" w:hAnsiTheme="minorEastAsia" w:eastAsiaTheme="minorEastAsia"/>
          <w:color w:val="000000" w:themeColor="text1"/>
          <w:sz w:val="24"/>
          <w:szCs w:val="24"/>
          <w14:textFill>
            <w14:solidFill>
              <w14:schemeClr w14:val="tx1"/>
            </w14:solidFill>
          </w14:textFill>
        </w:rPr>
        <w:t>解除本合同</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7599C8F3">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1.6.2</w:t>
      </w:r>
      <w:r>
        <w:rPr>
          <w:rFonts w:cs="Times New Roman" w:asciiTheme="minorEastAsia" w:hAnsiTheme="minorEastAsia" w:eastAsiaTheme="minorEastAsia"/>
          <w:color w:val="000000" w:themeColor="text1"/>
          <w:sz w:val="24"/>
          <w:szCs w:val="24"/>
          <w14:textFill>
            <w14:solidFill>
              <w14:schemeClr w14:val="tx1"/>
            </w14:solidFill>
          </w14:textFill>
        </w:rPr>
        <w:t>除不可抗力外，如果甲方没有按照本合同约定的付款方式付款，那么乙方可要求甲方支付违约金</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违约金按每迟延</w:t>
      </w:r>
      <w:r>
        <w:rPr>
          <w:rFonts w:hint="eastAsia" w:cs="Times New Roman" w:asciiTheme="minorEastAsia" w:hAnsiTheme="minorEastAsia" w:eastAsiaTheme="minorEastAsia"/>
          <w:color w:val="000000" w:themeColor="text1"/>
          <w:sz w:val="24"/>
          <w:szCs w:val="24"/>
          <w14:textFill>
            <w14:solidFill>
              <w14:schemeClr w14:val="tx1"/>
            </w14:solidFill>
          </w14:textFill>
        </w:rPr>
        <w:t>付款</w:t>
      </w:r>
      <w:r>
        <w:rPr>
          <w:rFonts w:cs="Times New Roman" w:asciiTheme="minorEastAsia" w:hAnsiTheme="minorEastAsia" w:eastAsiaTheme="minorEastAsia"/>
          <w:color w:val="000000" w:themeColor="text1"/>
          <w:sz w:val="24"/>
          <w:szCs w:val="24"/>
          <w14:textFill>
            <w14:solidFill>
              <w14:schemeClr w14:val="tx1"/>
            </w14:solidFill>
          </w14:textFill>
        </w:rPr>
        <w:t>一日的应付而未付款的</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0.5  </w:t>
      </w:r>
      <w:r>
        <w:rPr>
          <w:rFonts w:cs="Times New Roman" w:asciiTheme="minorEastAsia" w:hAnsiTheme="minorEastAsia" w:eastAsiaTheme="minorEastAsia"/>
          <w:color w:val="000000" w:themeColor="text1"/>
          <w:sz w:val="24"/>
          <w:szCs w:val="24"/>
          <w14:textFill>
            <w14:solidFill>
              <w14:schemeClr w14:val="tx1"/>
            </w14:solidFill>
          </w14:textFill>
        </w:rPr>
        <w:t>%计算</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最高限额为</w:t>
      </w:r>
      <w:r>
        <w:rPr>
          <w:rFonts w:hint="eastAsia" w:cs="Times New Roman" w:asciiTheme="minorEastAsia" w:hAnsiTheme="minorEastAsia" w:eastAsiaTheme="minorEastAsia"/>
          <w:color w:val="000000" w:themeColor="text1"/>
          <w:sz w:val="24"/>
          <w:szCs w:val="24"/>
          <w14:textFill>
            <w14:solidFill>
              <w14:schemeClr w14:val="tx1"/>
            </w14:solidFill>
          </w14:textFill>
        </w:rPr>
        <w:t>本</w:t>
      </w:r>
      <w:r>
        <w:rPr>
          <w:rFonts w:cs="Times New Roman" w:asciiTheme="minorEastAsia" w:hAnsiTheme="minorEastAsia" w:eastAsiaTheme="minorEastAsia"/>
          <w:color w:val="000000" w:themeColor="text1"/>
          <w:sz w:val="24"/>
          <w:szCs w:val="24"/>
          <w14:textFill>
            <w14:solidFill>
              <w14:schemeClr w14:val="tx1"/>
            </w14:solidFill>
          </w14:textFill>
        </w:rPr>
        <w:t>合同总价的</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5  </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迟延</w:t>
      </w:r>
      <w:r>
        <w:rPr>
          <w:rFonts w:hint="eastAsia" w:cs="Times New Roman" w:asciiTheme="minorEastAsia" w:hAnsiTheme="minorEastAsia" w:eastAsiaTheme="minorEastAsia"/>
          <w:color w:val="000000" w:themeColor="text1"/>
          <w:sz w:val="24"/>
          <w:szCs w:val="24"/>
          <w14:textFill>
            <w14:solidFill>
              <w14:schemeClr w14:val="tx1"/>
            </w14:solidFill>
          </w14:textFill>
        </w:rPr>
        <w:t>付款</w:t>
      </w:r>
      <w:r>
        <w:rPr>
          <w:rFonts w:cs="Times New Roman" w:asciiTheme="minorEastAsia" w:hAnsiTheme="minorEastAsia" w:eastAsiaTheme="minorEastAsia"/>
          <w:color w:val="000000" w:themeColor="text1"/>
          <w:sz w:val="24"/>
          <w:szCs w:val="24"/>
          <w14:textFill>
            <w14:solidFill>
              <w14:schemeClr w14:val="tx1"/>
            </w14:solidFill>
          </w14:textFill>
        </w:rPr>
        <w:t>的违约金计算数额达到前述最高限额之日起</w:t>
      </w:r>
      <w:r>
        <w:rPr>
          <w:rFonts w:hint="eastAsia" w:cs="Times New Roman" w:asciiTheme="minorEastAsia" w:hAnsiTheme="minorEastAsia" w:eastAsiaTheme="minorEastAsia"/>
          <w:color w:val="000000" w:themeColor="text1"/>
          <w:sz w:val="24"/>
          <w:szCs w:val="24"/>
          <w14:textFill>
            <w14:solidFill>
              <w14:schemeClr w14:val="tx1"/>
            </w14:solidFill>
          </w14:textFill>
        </w:rPr>
        <w:t>，乙</w:t>
      </w:r>
      <w:r>
        <w:rPr>
          <w:rFonts w:cs="Times New Roman" w:asciiTheme="minorEastAsia" w:hAnsiTheme="minorEastAsia" w:eastAsiaTheme="minorEastAsia"/>
          <w:color w:val="000000" w:themeColor="text1"/>
          <w:sz w:val="24"/>
          <w:szCs w:val="24"/>
          <w14:textFill>
            <w14:solidFill>
              <w14:schemeClr w14:val="tx1"/>
            </w14:solidFill>
          </w14:textFill>
        </w:rPr>
        <w:t>方有权在要求甲方支付违约金的同时</w:t>
      </w:r>
      <w:r>
        <w:rPr>
          <w:rFonts w:hint="eastAsia" w:cs="Times New Roman" w:asciiTheme="minorEastAsia" w:hAnsiTheme="minorEastAsia" w:eastAsiaTheme="minorEastAsia"/>
          <w:color w:val="000000" w:themeColor="text1"/>
          <w:sz w:val="24"/>
          <w:szCs w:val="24"/>
          <w14:textFill>
            <w14:solidFill>
              <w14:schemeClr w14:val="tx1"/>
            </w14:solidFill>
          </w14:textFill>
        </w:rPr>
        <w:t>，书面通知甲方</w:t>
      </w:r>
      <w:r>
        <w:rPr>
          <w:rFonts w:cs="Times New Roman" w:asciiTheme="minorEastAsia" w:hAnsiTheme="minorEastAsia" w:eastAsiaTheme="minorEastAsia"/>
          <w:color w:val="000000" w:themeColor="text1"/>
          <w:sz w:val="24"/>
          <w:szCs w:val="24"/>
          <w14:textFill>
            <w14:solidFill>
              <w14:schemeClr w14:val="tx1"/>
            </w14:solidFill>
          </w14:textFill>
        </w:rPr>
        <w:t>解除本合同</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3F42EB0D">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DF5F26C">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2FD81B5">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2514E9F">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1.6.6如果出现政府采购监督管理部门在处理投诉事项期间，书面通知甲方暂停采购活动的情形，或者询问或质疑事项可能影响中标结果的，导致甲方中止履行合同的情形，均不视为甲方违约。</w:t>
      </w:r>
    </w:p>
    <w:p w14:paraId="30F2C778">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1.6.7因甲方未按合同约定支付价款、未按合同约定受领标的物、擅自解除合同</w:t>
      </w:r>
      <w:r>
        <w:rPr>
          <w:rFonts w:hint="eastAsia" w:cs="Times New Roman" w:asciiTheme="minorEastAsia" w:hAnsiTheme="minorEastAsia" w:eastAsiaTheme="minorEastAsia"/>
          <w:color w:val="000000" w:themeColor="text1"/>
          <w:sz w:val="24"/>
          <w:szCs w:val="24"/>
          <w14:textFill>
            <w14:solidFill>
              <w14:schemeClr w14:val="tx1"/>
            </w14:solidFill>
          </w14:textFill>
        </w:rPr>
        <w:t>、逾期退还履约保证金</w:t>
      </w:r>
      <w:r>
        <w:rPr>
          <w:rFonts w:cs="Times New Roman" w:asciiTheme="minorEastAsia" w:hAnsiTheme="minorEastAsia" w:eastAsiaTheme="minorEastAsia"/>
          <w:color w:val="000000" w:themeColor="text1"/>
          <w:sz w:val="24"/>
          <w:szCs w:val="24"/>
          <w14:textFill>
            <w14:solidFill>
              <w14:schemeClr w14:val="tx1"/>
            </w14:solidFill>
          </w14:textFill>
        </w:rPr>
        <w:t>导致乙方遭受的直接损失，乙方可向甲方申请赔偿，赔偿金额由双方协商一致；</w:t>
      </w:r>
      <w:r>
        <w:rPr>
          <w:rFonts w:hint="eastAsia" w:cs="Times New Roman" w:asciiTheme="minorEastAsia" w:hAnsiTheme="minorEastAsia" w:eastAsiaTheme="minorEastAsia"/>
          <w:color w:val="000000" w:themeColor="text1"/>
          <w:sz w:val="24"/>
          <w:szCs w:val="24"/>
          <w14:textFill>
            <w14:solidFill>
              <w14:schemeClr w14:val="tx1"/>
            </w14:solidFill>
          </w14:textFill>
        </w:rPr>
        <w:t>针对因政策变化等原因不能签订合同或解除合同时，造成乙方合法利益受损的情形，可以给予乙方合理补偿，补偿金额不得超过乙方的直接损失。</w:t>
      </w:r>
    </w:p>
    <w:p w14:paraId="0B834531">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95" w:name="_Toc15583"/>
      <w:bookmarkStart w:id="96" w:name="_Toc28375"/>
      <w:bookmarkStart w:id="97" w:name="_Toc16021"/>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1.7</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合同</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争议的解决</w:t>
      </w:r>
      <w:bookmarkEnd w:id="95"/>
      <w:bookmarkEnd w:id="96"/>
      <w:bookmarkEnd w:id="97"/>
    </w:p>
    <w:p w14:paraId="2D298A1D">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本合</w:t>
      </w:r>
      <w:r>
        <w:rPr>
          <w:rFonts w:cs="Times New Roman" w:asciiTheme="minorEastAsia" w:hAnsiTheme="minorEastAsia" w:eastAsiaTheme="minorEastAsia"/>
          <w:color w:val="000000" w:themeColor="text1"/>
          <w:sz w:val="24"/>
          <w:szCs w:val="24"/>
          <w14:textFill>
            <w14:solidFill>
              <w14:schemeClr w14:val="tx1"/>
            </w14:solidFill>
          </w14:textFill>
        </w:rPr>
        <w:t>同履行过程中发生的任何争议，双方当事人均可</w:t>
      </w:r>
      <w:r>
        <w:rPr>
          <w:rFonts w:hint="eastAsia" w:cs="Times New Roman" w:asciiTheme="minorEastAsia" w:hAnsiTheme="minorEastAsia" w:eastAsiaTheme="minorEastAsia"/>
          <w:color w:val="000000" w:themeColor="text1"/>
          <w:sz w:val="24"/>
          <w:szCs w:val="24"/>
          <w14:textFill>
            <w14:solidFill>
              <w14:schemeClr w14:val="tx1"/>
            </w14:solidFill>
          </w14:textFill>
        </w:rPr>
        <w:t>通过和解或者调解解决；不愿和解、调解或者和解、调解不成的，可以选择下列第</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1 </w:t>
      </w:r>
      <w:r>
        <w:rPr>
          <w:rFonts w:hint="eastAsia" w:cs="Times New Roman" w:asciiTheme="minorEastAsia" w:hAnsiTheme="minorEastAsia" w:eastAsiaTheme="minorEastAsia"/>
          <w:color w:val="000000" w:themeColor="text1"/>
          <w:sz w:val="24"/>
          <w:szCs w:val="24"/>
          <w14:textFill>
            <w14:solidFill>
              <w14:schemeClr w14:val="tx1"/>
            </w14:solidFill>
          </w14:textFill>
        </w:rPr>
        <w:t>种方式解决：</w:t>
      </w:r>
    </w:p>
    <w:p w14:paraId="4C69DA0C">
      <w:pPr>
        <w:spacing w:line="360" w:lineRule="auto"/>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1.7.1将争议提交</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滁州 </w:t>
      </w:r>
      <w:r>
        <w:rPr>
          <w:rFonts w:hint="eastAsia" w:cs="Times New Roman" w:asciiTheme="minorEastAsia" w:hAnsiTheme="minorEastAsia" w:eastAsiaTheme="minorEastAsia"/>
          <w:color w:val="000000" w:themeColor="text1"/>
          <w:sz w:val="24"/>
          <w:szCs w:val="24"/>
          <w14:textFill>
            <w14:solidFill>
              <w14:schemeClr w14:val="tx1"/>
            </w14:solidFill>
          </w14:textFill>
        </w:rPr>
        <w:t>仲裁委员会依申请仲裁时其现行有效的仲裁规则裁决；</w:t>
      </w:r>
    </w:p>
    <w:p w14:paraId="5B8AA9F9">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1.7.2向</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项目所在地</w:t>
      </w:r>
      <w:r>
        <w:rPr>
          <w:rFonts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人民法院起诉。</w:t>
      </w:r>
    </w:p>
    <w:p w14:paraId="4FB2FD72">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98" w:name="_Toc15322"/>
      <w:bookmarkStart w:id="99" w:name="_Toc7245"/>
      <w:bookmarkStart w:id="100" w:name="_Toc11173"/>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1.8</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 合同生效</w:t>
      </w:r>
      <w:bookmarkEnd w:id="98"/>
      <w:bookmarkEnd w:id="99"/>
      <w:bookmarkEnd w:id="100"/>
    </w:p>
    <w:p w14:paraId="176C1317">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本合同自</w:t>
      </w:r>
      <w:r>
        <w:rPr>
          <w:rFonts w:hint="eastAsia" w:cs="Times New Roman" w:asciiTheme="minorEastAsia" w:hAnsiTheme="minorEastAsia" w:eastAsiaTheme="minorEastAsia"/>
          <w:color w:val="000000" w:themeColor="text1"/>
          <w:sz w:val="24"/>
          <w:szCs w:val="24"/>
          <w14:textFill>
            <w14:solidFill>
              <w14:schemeClr w14:val="tx1"/>
            </w14:solidFill>
          </w14:textFill>
        </w:rPr>
        <w:t>双方当事人盖章时</w:t>
      </w:r>
      <w:r>
        <w:rPr>
          <w:rFonts w:cs="Times New Roman" w:asciiTheme="minorEastAsia" w:hAnsiTheme="minorEastAsia" w:eastAsiaTheme="minorEastAsia"/>
          <w:color w:val="000000" w:themeColor="text1"/>
          <w:sz w:val="24"/>
          <w:szCs w:val="24"/>
          <w14:textFill>
            <w14:solidFill>
              <w14:schemeClr w14:val="tx1"/>
            </w14:solidFill>
          </w14:textFill>
        </w:rPr>
        <w:t>生效。</w:t>
      </w:r>
    </w:p>
    <w:p w14:paraId="2DCC265F">
      <w:pPr>
        <w:autoSpaceDE w:val="0"/>
        <w:autoSpaceDN w:val="0"/>
        <w:adjustRightInd w:val="0"/>
        <w:spacing w:line="560" w:lineRule="exact"/>
        <w:rPr>
          <w:rFonts w:cs="Times New Roman" w:asciiTheme="minorEastAsia" w:hAnsiTheme="minorEastAsia" w:eastAsiaTheme="minorEastAsia"/>
          <w:bCs/>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bCs/>
          <w:color w:val="000000" w:themeColor="text1"/>
          <w:sz w:val="24"/>
          <w:szCs w:val="24"/>
          <w:lang w:val="zh-CN"/>
          <w14:textFill>
            <w14:solidFill>
              <w14:schemeClr w14:val="tx1"/>
            </w14:solidFill>
          </w14:textFill>
        </w:rPr>
        <w:t xml:space="preserve">甲 </w:t>
      </w:r>
      <w:r>
        <w:rPr>
          <w:rFonts w:cs="Times New Roman" w:asciiTheme="minorEastAsia" w:hAnsiTheme="minorEastAsia" w:eastAsiaTheme="minorEastAsia"/>
          <w:bCs/>
          <w:color w:val="000000" w:themeColor="text1"/>
          <w:sz w:val="24"/>
          <w:szCs w:val="24"/>
          <w:lang w:val="zh-CN"/>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lang w:val="zh-CN"/>
          <w14:textFill>
            <w14:solidFill>
              <w14:schemeClr w14:val="tx1"/>
            </w14:solidFill>
          </w14:textFill>
        </w:rPr>
        <w:t>方：</w:t>
      </w:r>
      <w:r>
        <w:rPr>
          <w:rFonts w:hint="eastAsia" w:cs="Times New Roman" w:asciiTheme="minorEastAsia" w:hAnsiTheme="minorEastAsia" w:eastAsiaTheme="minorEastAsia"/>
          <w:bCs/>
          <w:color w:val="000000" w:themeColor="text1"/>
          <w:sz w:val="24"/>
          <w:szCs w:val="24"/>
          <w:u w:val="single"/>
          <w:lang w:val="zh-CN"/>
          <w14:textFill>
            <w14:solidFill>
              <w14:schemeClr w14:val="tx1"/>
            </w14:solidFill>
          </w14:textFill>
        </w:rPr>
        <w:t xml:space="preserve">    （单位盖章）     </w:t>
      </w:r>
      <w:r>
        <w:rPr>
          <w:rFonts w:hint="eastAsia" w:cs="Times New Roman" w:asciiTheme="minorEastAsia" w:hAnsiTheme="minorEastAsia" w:eastAsiaTheme="minorEastAsia"/>
          <w:bCs/>
          <w:color w:val="000000" w:themeColor="text1"/>
          <w:sz w:val="24"/>
          <w:szCs w:val="24"/>
          <w:lang w:val="zh-CN"/>
          <w14:textFill>
            <w14:solidFill>
              <w14:schemeClr w14:val="tx1"/>
            </w14:solidFill>
          </w14:textFill>
        </w:rPr>
        <w:t xml:space="preserve">          乙方：</w:t>
      </w:r>
      <w:r>
        <w:rPr>
          <w:rFonts w:hint="eastAsia" w:cs="Times New Roman" w:asciiTheme="minorEastAsia" w:hAnsiTheme="minorEastAsia" w:eastAsiaTheme="minorEastAsia"/>
          <w:bCs/>
          <w:color w:val="000000" w:themeColor="text1"/>
          <w:sz w:val="24"/>
          <w:szCs w:val="24"/>
          <w:u w:val="single"/>
          <w:lang w:val="zh-CN"/>
          <w14:textFill>
            <w14:solidFill>
              <w14:schemeClr w14:val="tx1"/>
            </w14:solidFill>
          </w14:textFill>
        </w:rPr>
        <w:t xml:space="preserve">    （单位盖章）     </w:t>
      </w:r>
    </w:p>
    <w:p w14:paraId="1AE4D16B">
      <w:pPr>
        <w:autoSpaceDE w:val="0"/>
        <w:autoSpaceDN w:val="0"/>
        <w:adjustRightInd w:val="0"/>
        <w:spacing w:line="560" w:lineRule="exact"/>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法定代表人或授权代表（签字）：            法定代表人或授权代表（签字）：</w:t>
      </w:r>
    </w:p>
    <w:p w14:paraId="64948005">
      <w:pPr>
        <w:widowControl/>
        <w:spacing w:line="560" w:lineRule="exact"/>
        <w:jc w:val="left"/>
        <w:rPr>
          <w:rFonts w:cs="Times New Roman" w:asciiTheme="minorEastAsia" w:hAnsiTheme="minorEastAsia" w:eastAsiaTheme="minorEastAsia"/>
          <w:bCs/>
          <w:color w:val="000000" w:themeColor="text1"/>
          <w:sz w:val="24"/>
          <w:szCs w:val="24"/>
          <w14:textFill>
            <w14:solidFill>
              <w14:schemeClr w14:val="tx1"/>
            </w14:solidFill>
          </w14:textFill>
        </w:rPr>
      </w:pPr>
      <w:bookmarkStart w:id="101" w:name="_Toc331685783"/>
      <w:r>
        <w:rPr>
          <w:rFonts w:hint="eastAsia" w:cs="Times New Roman" w:asciiTheme="minorEastAsia" w:hAnsiTheme="minorEastAsia" w:eastAsiaTheme="minorEastAsia"/>
          <w:bCs/>
          <w:color w:val="000000" w:themeColor="text1"/>
          <w:sz w:val="24"/>
          <w:szCs w:val="24"/>
          <w14:textFill>
            <w14:solidFill>
              <w14:schemeClr w14:val="tx1"/>
            </w14:solidFill>
          </w14:textFill>
        </w:rPr>
        <w:t>时间：</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年</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月</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日               时间：</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年</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月</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日</w:t>
      </w:r>
    </w:p>
    <w:p w14:paraId="194EB33E">
      <w:pPr>
        <w:spacing w:line="5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 </w:t>
      </w:r>
      <w:bookmarkStart w:id="102" w:name="_Hlk110099149"/>
      <w:r>
        <w:rPr>
          <w:rFonts w:hint="eastAsia" w:ascii="宋体" w:hAnsi="宋体" w:eastAsia="宋体"/>
          <w:color w:val="000000" w:themeColor="text1"/>
          <w:sz w:val="24"/>
          <w:szCs w:val="24"/>
          <w14:textFill>
            <w14:solidFill>
              <w14:schemeClr w14:val="tx1"/>
            </w14:solidFill>
          </w14:textFill>
        </w:rPr>
        <w:t>乙方账户信息</w:t>
      </w:r>
    </w:p>
    <w:p w14:paraId="3976BD2C">
      <w:pPr>
        <w:spacing w:line="5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 户名：</w:t>
      </w:r>
      <w:r>
        <w:rPr>
          <w:rFonts w:hint="eastAsia" w:ascii="宋体" w:hAnsi="宋体" w:eastAsia="宋体"/>
          <w:color w:val="000000" w:themeColor="text1"/>
          <w:sz w:val="24"/>
          <w:szCs w:val="24"/>
          <w:u w:val="single"/>
          <w14:textFill>
            <w14:solidFill>
              <w14:schemeClr w14:val="tx1"/>
            </w14:solidFill>
          </w14:textFill>
        </w:rPr>
        <w:t xml:space="preserve">            </w:t>
      </w:r>
    </w:p>
    <w:p w14:paraId="522E446E">
      <w:pPr>
        <w:spacing w:line="5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账号：</w:t>
      </w:r>
      <w:r>
        <w:rPr>
          <w:rFonts w:hint="eastAsia" w:ascii="宋体" w:hAnsi="宋体" w:eastAsia="宋体"/>
          <w:color w:val="000000" w:themeColor="text1"/>
          <w:sz w:val="24"/>
          <w:szCs w:val="24"/>
          <w:u w:val="single"/>
          <w14:textFill>
            <w14:solidFill>
              <w14:schemeClr w14:val="tx1"/>
            </w14:solidFill>
          </w14:textFill>
        </w:rPr>
        <w:t xml:space="preserve">            </w:t>
      </w:r>
    </w:p>
    <w:p w14:paraId="6BDF26F7">
      <w:pPr>
        <w:spacing w:line="5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开户银行：</w:t>
      </w:r>
      <w:r>
        <w:rPr>
          <w:rFonts w:hint="eastAsia" w:ascii="宋体" w:hAnsi="宋体" w:eastAsia="宋体"/>
          <w:color w:val="000000" w:themeColor="text1"/>
          <w:sz w:val="24"/>
          <w:szCs w:val="24"/>
          <w:u w:val="single"/>
          <w14:textFill>
            <w14:solidFill>
              <w14:schemeClr w14:val="tx1"/>
            </w14:solidFill>
          </w14:textFill>
        </w:rPr>
        <w:t xml:space="preserve">        </w:t>
      </w:r>
    </w:p>
    <w:bookmarkEnd w:id="102"/>
    <w:p w14:paraId="3AB5FA0E">
      <w:pPr>
        <w:widowControl/>
        <w:jc w:val="left"/>
        <w:rPr>
          <w:rFonts w:cs="Times New Roman" w:asciiTheme="minorEastAsia" w:hAnsiTheme="minorEastAsia" w:eastAsiaTheme="minorEastAsia"/>
          <w:b/>
          <w:color w:val="000000" w:themeColor="text1"/>
          <w:sz w:val="24"/>
          <w:szCs w:val="24"/>
          <w14:textFill>
            <w14:solidFill>
              <w14:schemeClr w14:val="tx1"/>
            </w14:solidFill>
          </w14:textFill>
        </w:rPr>
      </w:pPr>
      <w:r>
        <w:rPr>
          <w:rFonts w:cs="Times New Roman" w:asciiTheme="minorEastAsia" w:hAnsiTheme="minorEastAsia" w:eastAsiaTheme="minorEastAsia"/>
          <w:b/>
          <w:color w:val="000000" w:themeColor="text1"/>
          <w:sz w:val="24"/>
          <w:szCs w:val="24"/>
          <w14:textFill>
            <w14:solidFill>
              <w14:schemeClr w14:val="tx1"/>
            </w14:solidFill>
          </w14:textFill>
        </w:rPr>
        <w:br w:type="page"/>
      </w:r>
    </w:p>
    <w:p w14:paraId="5956FF68">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103" w:name="_Toc415"/>
      <w:r>
        <w:rPr>
          <w:rFonts w:hint="eastAsia" w:asciiTheme="minorEastAsia" w:hAnsiTheme="minorEastAsia" w:eastAsiaTheme="minorEastAsia"/>
          <w:b/>
          <w:color w:val="000000" w:themeColor="text1"/>
          <w:sz w:val="24"/>
          <w14:textFill>
            <w14:solidFill>
              <w14:schemeClr w14:val="tx1"/>
            </w14:solidFill>
          </w14:textFill>
        </w:rPr>
        <w:t>第二部分</w:t>
      </w:r>
      <w:r>
        <w:rPr>
          <w:rFonts w:asciiTheme="minorEastAsia" w:hAnsiTheme="minorEastAsia" w:eastAsiaTheme="minorEastAsia"/>
          <w:b/>
          <w:color w:val="000000" w:themeColor="text1"/>
          <w:sz w:val="24"/>
          <w14:textFill>
            <w14:solidFill>
              <w14:schemeClr w14:val="tx1"/>
            </w14:solidFill>
          </w14:textFill>
        </w:rPr>
        <w:t xml:space="preserve"> </w:t>
      </w:r>
      <w:r>
        <w:rPr>
          <w:rFonts w:hint="eastAsia" w:asciiTheme="minorEastAsia" w:hAnsiTheme="minorEastAsia" w:eastAsiaTheme="minorEastAsia"/>
          <w:b/>
          <w:color w:val="000000" w:themeColor="text1"/>
          <w:sz w:val="24"/>
          <w14:textFill>
            <w14:solidFill>
              <w14:schemeClr w14:val="tx1"/>
            </w14:solidFill>
          </w14:textFill>
        </w:rPr>
        <w:t>合同一般条款</w:t>
      </w:r>
      <w:bookmarkEnd w:id="101"/>
      <w:bookmarkEnd w:id="103"/>
    </w:p>
    <w:p w14:paraId="2818D79A">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04" w:name="_Ref467379225"/>
      <w:bookmarkStart w:id="105" w:name="_Toc16917"/>
      <w:bookmarkStart w:id="106" w:name="_Ref467379094"/>
      <w:bookmarkStart w:id="107" w:name="_Ref467379109"/>
      <w:bookmarkStart w:id="108" w:name="_Ref467379195"/>
      <w:bookmarkStart w:id="109" w:name="_Toc19614"/>
      <w:bookmarkStart w:id="110" w:name="_Toc487900349"/>
      <w:bookmarkStart w:id="111" w:name="_Toc279701240"/>
      <w:bookmarkStart w:id="112" w:name="_Toc259093669"/>
      <w:bookmarkStart w:id="113" w:name="_Ref467378463"/>
      <w:bookmarkStart w:id="114" w:name="_Ref467378499"/>
      <w:bookmarkStart w:id="115" w:name="_Ref467379205"/>
      <w:bookmarkStart w:id="116" w:name="_Toc28763"/>
      <w:bookmarkStart w:id="117" w:name="_Ref467379101"/>
      <w:bookmarkStart w:id="118" w:name="_Ref467378404"/>
      <w:bookmarkStart w:id="119" w:name="_Ref467379214"/>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 定义</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6938EE77">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本合同中的下列</w:t>
      </w:r>
      <w:r>
        <w:rPr>
          <w:rFonts w:hint="eastAsia" w:cs="Times New Roman" w:asciiTheme="minorEastAsia" w:hAnsiTheme="minorEastAsia" w:eastAsiaTheme="minorEastAsia"/>
          <w:color w:val="000000" w:themeColor="text1"/>
          <w:sz w:val="24"/>
          <w:szCs w:val="24"/>
          <w14:textFill>
            <w14:solidFill>
              <w14:schemeClr w14:val="tx1"/>
            </w14:solidFill>
          </w14:textFill>
        </w:rPr>
        <w:t>词</w:t>
      </w:r>
      <w:r>
        <w:rPr>
          <w:rFonts w:cs="Times New Roman" w:asciiTheme="minorEastAsia" w:hAnsiTheme="minorEastAsia" w:eastAsiaTheme="minorEastAsia"/>
          <w:color w:val="000000" w:themeColor="text1"/>
          <w:sz w:val="24"/>
          <w:szCs w:val="24"/>
          <w14:textFill>
            <w14:solidFill>
              <w14:schemeClr w14:val="tx1"/>
            </w14:solidFill>
          </w14:textFill>
        </w:rPr>
        <w:t>语应</w:t>
      </w:r>
      <w:r>
        <w:rPr>
          <w:rFonts w:hint="eastAsia" w:cs="Times New Roman" w:asciiTheme="minorEastAsia" w:hAnsiTheme="minorEastAsia" w:eastAsiaTheme="minorEastAsia"/>
          <w:color w:val="000000" w:themeColor="text1"/>
          <w:sz w:val="24"/>
          <w:szCs w:val="24"/>
          <w14:textFill>
            <w14:solidFill>
              <w14:schemeClr w14:val="tx1"/>
            </w14:solidFill>
          </w14:textFill>
        </w:rPr>
        <w:t>按以下内容进行</w:t>
      </w:r>
      <w:r>
        <w:rPr>
          <w:rFonts w:cs="Times New Roman" w:asciiTheme="minorEastAsia" w:hAnsiTheme="minorEastAsia" w:eastAsiaTheme="minorEastAsia"/>
          <w:color w:val="000000" w:themeColor="text1"/>
          <w:sz w:val="24"/>
          <w:szCs w:val="24"/>
          <w14:textFill>
            <w14:solidFill>
              <w14:schemeClr w14:val="tx1"/>
            </w14:solidFill>
          </w14:textFill>
        </w:rPr>
        <w:t>解释：</w:t>
      </w:r>
    </w:p>
    <w:p w14:paraId="668418D5">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.1</w:t>
      </w:r>
      <w:r>
        <w:rPr>
          <w:rFonts w:cs="Times New Roman" w:asciiTheme="minorEastAsia" w:hAnsiTheme="minorEastAsia" w:eastAsiaTheme="minorEastAsia"/>
          <w:color w:val="000000" w:themeColor="text1"/>
          <w:sz w:val="24"/>
          <w:szCs w:val="24"/>
          <w14:textFill>
            <w14:solidFill>
              <w14:schemeClr w14:val="tx1"/>
            </w14:solidFill>
          </w14:textFill>
        </w:rPr>
        <w:t>“合同”系指采购人和中标人签订的载明双方当事人所达成的协议，并包括所有的附件、附录和构成合同的其他文件。</w:t>
      </w:r>
    </w:p>
    <w:p w14:paraId="7152E4AA">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1.2“合同价”系指根据合同约定，中标人在完全履行合同义务后</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采购人应支付给中标人的价格。</w:t>
      </w:r>
    </w:p>
    <w:p w14:paraId="613A9E86">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1.3“</w:t>
      </w:r>
      <w:r>
        <w:rPr>
          <w:rFonts w:hint="eastAsia" w:cs="Times New Roman" w:asciiTheme="minorEastAsia" w:hAnsiTheme="minorEastAsia" w:eastAsiaTheme="minorEastAsia"/>
          <w:color w:val="000000" w:themeColor="text1"/>
          <w:sz w:val="24"/>
          <w:szCs w:val="24"/>
          <w14:textFill>
            <w14:solidFill>
              <w14:schemeClr w14:val="tx1"/>
            </w14:solidFill>
          </w14:textFill>
        </w:rPr>
        <w:t>服务</w:t>
      </w:r>
      <w:r>
        <w:rPr>
          <w:rFonts w:cs="Times New Roman" w:asciiTheme="minorEastAsia" w:hAnsiTheme="minorEastAsia" w:eastAsiaTheme="minorEastAsia"/>
          <w:color w:val="000000" w:themeColor="text1"/>
          <w:sz w:val="24"/>
          <w:szCs w:val="24"/>
          <w14:textFill>
            <w14:solidFill>
              <w14:schemeClr w14:val="tx1"/>
            </w14:solidFill>
          </w14:textFill>
        </w:rPr>
        <w:t>”系指</w:t>
      </w:r>
      <w:r>
        <w:rPr>
          <w:rFonts w:hint="eastAsia" w:cs="Times New Roman" w:asciiTheme="minorEastAsia" w:hAnsiTheme="minorEastAsia" w:eastAsiaTheme="minorEastAsia"/>
          <w:color w:val="000000" w:themeColor="text1"/>
          <w:sz w:val="24"/>
          <w:szCs w:val="24"/>
          <w14:textFill>
            <w14:solidFill>
              <w14:schemeClr w14:val="tx1"/>
            </w14:solidFill>
          </w14:textFill>
        </w:rPr>
        <w:t>中标人</w:t>
      </w:r>
      <w:r>
        <w:rPr>
          <w:rFonts w:cs="Times New Roman" w:asciiTheme="minorEastAsia" w:hAnsiTheme="minorEastAsia" w:eastAsiaTheme="minorEastAsia"/>
          <w:color w:val="000000" w:themeColor="text1"/>
          <w:sz w:val="24"/>
          <w:szCs w:val="24"/>
          <w14:textFill>
            <w14:solidFill>
              <w14:schemeClr w14:val="tx1"/>
            </w14:solidFill>
          </w14:textFill>
        </w:rPr>
        <w:t>根据合同约定应向采购人</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的</w:t>
      </w:r>
      <w:r>
        <w:rPr>
          <w:rFonts w:hint="eastAsia" w:cs="Times New Roman" w:asciiTheme="minorEastAsia" w:hAnsiTheme="minorEastAsia" w:eastAsiaTheme="minorEastAsia"/>
          <w:color w:val="000000" w:themeColor="text1"/>
          <w:sz w:val="24"/>
          <w:szCs w:val="24"/>
          <w14:textFill>
            <w14:solidFill>
              <w14:schemeClr w14:val="tx1"/>
            </w14:solidFill>
          </w14:textFill>
        </w:rPr>
        <w:t>除货物和工程以外的其他政府采购对象，包括采购人自身需要的服务和向社会公众提供的公共服务。</w:t>
      </w:r>
    </w:p>
    <w:p w14:paraId="40613141">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bookmarkStart w:id="120" w:name="_Ref467378840"/>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4</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甲方</w:t>
      </w:r>
      <w:r>
        <w:rPr>
          <w:rFonts w:cs="Times New Roman" w:asciiTheme="minorEastAsia" w:hAnsiTheme="minorEastAsia" w:eastAsiaTheme="minorEastAsia"/>
          <w:color w:val="000000" w:themeColor="text1"/>
          <w:sz w:val="24"/>
          <w:szCs w:val="24"/>
          <w14:textFill>
            <w14:solidFill>
              <w14:schemeClr w14:val="tx1"/>
            </w14:solidFill>
          </w14:textFill>
        </w:rPr>
        <w:t>”系指与</w:t>
      </w:r>
      <w:r>
        <w:rPr>
          <w:rFonts w:hint="eastAsia" w:cs="Times New Roman" w:asciiTheme="minorEastAsia" w:hAnsiTheme="minorEastAsia" w:eastAsiaTheme="minorEastAsia"/>
          <w:color w:val="000000" w:themeColor="text1"/>
          <w:sz w:val="24"/>
          <w:szCs w:val="24"/>
          <w14:textFill>
            <w14:solidFill>
              <w14:schemeClr w14:val="tx1"/>
            </w14:solidFill>
          </w14:textFill>
        </w:rPr>
        <w:t>中标人</w:t>
      </w:r>
      <w:r>
        <w:rPr>
          <w:rFonts w:cs="Times New Roman" w:asciiTheme="minorEastAsia" w:hAnsiTheme="minorEastAsia" w:eastAsiaTheme="minorEastAsia"/>
          <w:color w:val="000000" w:themeColor="text1"/>
          <w:sz w:val="24"/>
          <w:szCs w:val="24"/>
          <w14:textFill>
            <w14:solidFill>
              <w14:schemeClr w14:val="tx1"/>
            </w14:solidFill>
          </w14:textFill>
        </w:rPr>
        <w:t>签署合同的采购人</w:t>
      </w:r>
      <w:bookmarkEnd w:id="120"/>
      <w:r>
        <w:rPr>
          <w:rFonts w:hint="eastAsia" w:cs="Times New Roman" w:asciiTheme="minorEastAsia" w:hAnsiTheme="minorEastAsia" w:eastAsiaTheme="minorEastAsia"/>
          <w:color w:val="000000" w:themeColor="text1"/>
          <w:sz w:val="24"/>
          <w:szCs w:val="24"/>
          <w14:textFill>
            <w14:solidFill>
              <w14:schemeClr w14:val="tx1"/>
            </w14:solidFill>
          </w14:textFill>
        </w:rPr>
        <w:t>；采购人委托采购代理机构代表其与乙方签订合同的，采购人的授权委托书作为合同附件。</w:t>
      </w:r>
    </w:p>
    <w:p w14:paraId="14852C9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bookmarkStart w:id="121" w:name="_Ref467379400"/>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5</w:t>
      </w:r>
      <w:r>
        <w:rPr>
          <w:rFonts w:cs="Times New Roman" w:asciiTheme="minorEastAsia" w:hAnsiTheme="minorEastAsia" w:eastAsiaTheme="minorEastAsia"/>
          <w:color w:val="000000" w:themeColor="text1"/>
          <w:sz w:val="24"/>
          <w:szCs w:val="24"/>
          <w14:textFill>
            <w14:solidFill>
              <w14:schemeClr w14:val="tx1"/>
            </w14:solidFill>
          </w14:textFill>
        </w:rPr>
        <w:t>“乙方”系指根据合同约定</w:t>
      </w:r>
      <w:r>
        <w:rPr>
          <w:rFonts w:hint="eastAsia" w:cs="Times New Roman" w:asciiTheme="minorEastAsia" w:hAnsiTheme="minorEastAsia" w:eastAsiaTheme="minorEastAsia"/>
          <w:color w:val="000000" w:themeColor="text1"/>
          <w:sz w:val="24"/>
          <w:szCs w:val="24"/>
          <w14:textFill>
            <w14:solidFill>
              <w14:schemeClr w14:val="tx1"/>
            </w14:solidFill>
          </w14:textFill>
        </w:rPr>
        <w:t>提供服务</w:t>
      </w:r>
      <w:r>
        <w:rPr>
          <w:rFonts w:cs="Times New Roman" w:asciiTheme="minorEastAsia" w:hAnsiTheme="minorEastAsia" w:eastAsiaTheme="minorEastAsia"/>
          <w:color w:val="000000" w:themeColor="text1"/>
          <w:sz w:val="24"/>
          <w:szCs w:val="24"/>
          <w14:textFill>
            <w14:solidFill>
              <w14:schemeClr w14:val="tx1"/>
            </w14:solidFill>
          </w14:textFill>
        </w:rPr>
        <w:t>的中标人</w:t>
      </w:r>
      <w:bookmarkEnd w:id="121"/>
      <w:r>
        <w:rPr>
          <w:rFonts w:hint="eastAsia" w:cs="Times New Roman" w:asciiTheme="minorEastAsia" w:hAnsiTheme="minorEastAsia" w:eastAsiaTheme="minorEastAsia"/>
          <w:color w:val="000000" w:themeColor="text1"/>
          <w:sz w:val="24"/>
          <w:szCs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6E8212A">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bookmarkStart w:id="122" w:name="_Ref467379436"/>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6</w:t>
      </w:r>
      <w:r>
        <w:rPr>
          <w:rFonts w:cs="Times New Roman" w:asciiTheme="minorEastAsia" w:hAnsiTheme="minorEastAsia" w:eastAsiaTheme="minorEastAsia"/>
          <w:color w:val="000000" w:themeColor="text1"/>
          <w:sz w:val="24"/>
          <w:szCs w:val="24"/>
          <w14:textFill>
            <w14:solidFill>
              <w14:schemeClr w14:val="tx1"/>
            </w14:solidFill>
          </w14:textFill>
        </w:rPr>
        <w:t>“现场”系指合同约定</w:t>
      </w:r>
      <w:r>
        <w:rPr>
          <w:rFonts w:hint="eastAsia" w:cs="Times New Roman" w:asciiTheme="minorEastAsia" w:hAnsiTheme="minorEastAsia" w:eastAsiaTheme="minorEastAsia"/>
          <w:color w:val="000000" w:themeColor="text1"/>
          <w:sz w:val="24"/>
          <w:szCs w:val="24"/>
          <w14:textFill>
            <w14:solidFill>
              <w14:schemeClr w14:val="tx1"/>
            </w14:solidFill>
          </w14:textFill>
        </w:rPr>
        <w:t>提供服务</w:t>
      </w:r>
      <w:r>
        <w:rPr>
          <w:rFonts w:cs="Times New Roman" w:asciiTheme="minorEastAsia" w:hAnsiTheme="minorEastAsia" w:eastAsiaTheme="minorEastAsia"/>
          <w:color w:val="000000" w:themeColor="text1"/>
          <w:sz w:val="24"/>
          <w:szCs w:val="24"/>
          <w14:textFill>
            <w14:solidFill>
              <w14:schemeClr w14:val="tx1"/>
            </w14:solidFill>
          </w14:textFill>
        </w:rPr>
        <w:t>的地点。</w:t>
      </w:r>
      <w:bookmarkEnd w:id="122"/>
    </w:p>
    <w:p w14:paraId="607A217B">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23" w:name="_Toc279701241"/>
      <w:bookmarkStart w:id="124" w:name="_Toc259093670"/>
      <w:bookmarkStart w:id="125" w:name="_Toc13336"/>
      <w:bookmarkStart w:id="126" w:name="_Toc32504"/>
      <w:bookmarkStart w:id="127" w:name="_Toc27635"/>
      <w:bookmarkStart w:id="128" w:name="_Toc487900350"/>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2 技术规范</w:t>
      </w:r>
      <w:bookmarkEnd w:id="123"/>
      <w:bookmarkEnd w:id="124"/>
      <w:bookmarkEnd w:id="125"/>
      <w:bookmarkEnd w:id="126"/>
      <w:bookmarkEnd w:id="127"/>
      <w:bookmarkEnd w:id="128"/>
    </w:p>
    <w:p w14:paraId="52F969B0">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货物所应遵守的技术规范应与采购文件规定的技术规范和技术规范附件(如果有的话)及其技术规范偏差表(如果被甲方接受的话)相一致</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如果采购文件中没有技术规范的相应说明，那么应以国家有关部门最新颁布的相应标准</w:t>
      </w:r>
      <w:r>
        <w:rPr>
          <w:rFonts w:hint="eastAsia" w:cs="Times New Roman" w:asciiTheme="minorEastAsia" w:hAnsiTheme="minorEastAsia" w:eastAsiaTheme="minorEastAsia"/>
          <w:color w:val="000000" w:themeColor="text1"/>
          <w:sz w:val="24"/>
          <w:szCs w:val="24"/>
          <w14:textFill>
            <w14:solidFill>
              <w14:schemeClr w14:val="tx1"/>
            </w14:solidFill>
          </w14:textFill>
        </w:rPr>
        <w:t>和</w:t>
      </w:r>
      <w:r>
        <w:rPr>
          <w:rFonts w:cs="Times New Roman" w:asciiTheme="minorEastAsia" w:hAnsiTheme="minorEastAsia" w:eastAsiaTheme="minorEastAsia"/>
          <w:color w:val="000000" w:themeColor="text1"/>
          <w:sz w:val="24"/>
          <w:szCs w:val="24"/>
          <w14:textFill>
            <w14:solidFill>
              <w14:schemeClr w14:val="tx1"/>
            </w14:solidFill>
          </w14:textFill>
        </w:rPr>
        <w:t>规范为准。</w:t>
      </w:r>
    </w:p>
    <w:p w14:paraId="1F16185A">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29" w:name="_Toc259093671"/>
      <w:bookmarkStart w:id="130" w:name="_Toc31634"/>
      <w:bookmarkStart w:id="131" w:name="_Toc27853"/>
      <w:bookmarkStart w:id="132" w:name="_Toc487900351"/>
      <w:bookmarkStart w:id="133" w:name="_Toc279701242"/>
      <w:bookmarkStart w:id="134" w:name="_Toc9829"/>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3 知识产权</w:t>
      </w:r>
      <w:bookmarkEnd w:id="129"/>
      <w:bookmarkEnd w:id="130"/>
      <w:bookmarkEnd w:id="131"/>
      <w:bookmarkEnd w:id="132"/>
      <w:bookmarkEnd w:id="133"/>
      <w:bookmarkEnd w:id="134"/>
    </w:p>
    <w:p w14:paraId="35B876E1">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2.3.1乙</w:t>
      </w:r>
      <w:r>
        <w:rPr>
          <w:rFonts w:cs="Times New Roman" w:asciiTheme="minorEastAsia" w:hAnsiTheme="minorEastAsia" w:eastAsiaTheme="minorEastAsia"/>
          <w:color w:val="000000" w:themeColor="text1"/>
          <w:sz w:val="24"/>
          <w:szCs w:val="24"/>
          <w14:textFill>
            <w14:solidFill>
              <w14:schemeClr w14:val="tx1"/>
            </w14:solidFill>
          </w14:textFill>
        </w:rPr>
        <w:t>方应保证</w:t>
      </w:r>
      <w:r>
        <w:rPr>
          <w:rFonts w:hint="eastAsia" w:cs="Times New Roman" w:asciiTheme="minorEastAsia" w:hAnsiTheme="minorEastAsia" w:eastAsiaTheme="minorEastAsia"/>
          <w:color w:val="000000" w:themeColor="text1"/>
          <w:sz w:val="24"/>
          <w:szCs w:val="24"/>
          <w14:textFill>
            <w14:solidFill>
              <w14:schemeClr w14:val="tx1"/>
            </w14:solidFill>
          </w14:textFill>
        </w:rPr>
        <w:t>其提供的服务</w:t>
      </w:r>
      <w:r>
        <w:rPr>
          <w:rFonts w:cs="Times New Roman" w:asciiTheme="minorEastAsia" w:hAnsiTheme="minorEastAsia" w:eastAsiaTheme="minorEastAsia"/>
          <w:color w:val="000000" w:themeColor="text1"/>
          <w:sz w:val="24"/>
          <w:szCs w:val="24"/>
          <w14:textFill>
            <w14:solidFill>
              <w14:schemeClr w14:val="tx1"/>
            </w14:solidFill>
          </w14:textFill>
        </w:rPr>
        <w:t>不受任何第三方提出的侵犯其著作权、商标权、专利权等知识产权方面的起诉</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如果任何第三方提出侵权</w:t>
      </w:r>
      <w:r>
        <w:rPr>
          <w:rFonts w:hint="eastAsia" w:cs="Times New Roman" w:asciiTheme="minorEastAsia" w:hAnsiTheme="minorEastAsia" w:eastAsiaTheme="minorEastAsia"/>
          <w:color w:val="000000" w:themeColor="text1"/>
          <w:sz w:val="24"/>
          <w:szCs w:val="24"/>
          <w14:textFill>
            <w14:solidFill>
              <w14:schemeClr w14:val="tx1"/>
            </w14:solidFill>
          </w14:textFill>
        </w:rPr>
        <w:t>指控</w:t>
      </w:r>
      <w:r>
        <w:rPr>
          <w:rFonts w:cs="Times New Roman" w:asciiTheme="minorEastAsia" w:hAnsiTheme="minorEastAsia" w:eastAsiaTheme="minorEastAsia"/>
          <w:color w:val="000000" w:themeColor="text1"/>
          <w:sz w:val="24"/>
          <w:szCs w:val="24"/>
          <w14:textFill>
            <w14:solidFill>
              <w14:schemeClr w14:val="tx1"/>
            </w14:solidFill>
          </w14:textFill>
        </w:rPr>
        <w:t>，那么乙方须与该第三方交涉并承担由此发生的一切责任、费用和赔偿</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362E7F76">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2.3.2具有知识产权的计算机软件等货物的知识产权归属，</w:t>
      </w:r>
      <w:r>
        <w:rPr>
          <w:rFonts w:cs="Times New Roman" w:asciiTheme="minorEastAsia" w:hAnsiTheme="minorEastAsia" w:eastAsiaTheme="minorEastAsia"/>
          <w:color w:val="000000" w:themeColor="text1"/>
          <w:sz w:val="24"/>
          <w:szCs w:val="24"/>
          <w14:textFill>
            <w14:solidFill>
              <w14:schemeClr w14:val="tx1"/>
            </w14:solidFill>
          </w14:textFill>
        </w:rPr>
        <w:t>详见</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w:t>
      </w:r>
    </w:p>
    <w:p w14:paraId="3BEFFD9A">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35" w:name="_Toc259093674"/>
      <w:bookmarkStart w:id="136" w:name="_Ref467378541"/>
      <w:bookmarkStart w:id="137" w:name="_Ref467379527"/>
      <w:bookmarkStart w:id="138" w:name="_Ref467379536"/>
      <w:bookmarkStart w:id="139" w:name="_Ref467379542"/>
      <w:bookmarkStart w:id="140" w:name="_Ref467378591"/>
      <w:bookmarkStart w:id="141" w:name="_Toc487900354"/>
      <w:bookmarkStart w:id="142" w:name="_Toc279701245"/>
      <w:bookmarkStart w:id="143" w:name="_Toc30272"/>
      <w:bookmarkStart w:id="144" w:name="_Toc19074"/>
      <w:bookmarkStart w:id="145" w:name="_Toc26182"/>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bookmarkEnd w:id="135"/>
      <w:bookmarkEnd w:id="136"/>
      <w:bookmarkEnd w:id="137"/>
      <w:bookmarkEnd w:id="138"/>
      <w:bookmarkEnd w:id="139"/>
      <w:bookmarkEnd w:id="140"/>
      <w:bookmarkEnd w:id="141"/>
      <w:bookmarkEnd w:id="142"/>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4 </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履约检查和问题反馈</w:t>
      </w:r>
      <w:bookmarkEnd w:id="143"/>
      <w:bookmarkEnd w:id="144"/>
      <w:bookmarkEnd w:id="145"/>
    </w:p>
    <w:p w14:paraId="013FC3E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bookmarkStart w:id="146" w:name="_Toc186431854"/>
      <w:bookmarkStart w:id="147" w:name="_Toc259093676"/>
      <w:bookmarkStart w:id="148" w:name="_Ref467379793"/>
      <w:bookmarkStart w:id="149" w:name="_Toc487900357"/>
      <w:bookmarkStart w:id="150" w:name="_Toc279701247"/>
      <w:bookmarkStart w:id="151" w:name="_Ref467379807"/>
      <w:r>
        <w:rPr>
          <w:rFonts w:hint="eastAsia" w:cs="Times New Roman" w:asciiTheme="minorEastAsia" w:hAnsiTheme="minorEastAsia" w:eastAsiaTheme="minorEastAsia"/>
          <w:color w:val="000000" w:themeColor="text1"/>
          <w:sz w:val="24"/>
          <w:szCs w:val="24"/>
          <w14:textFill>
            <w14:solidFill>
              <w14:schemeClr w14:val="tx1"/>
            </w14:solidFill>
          </w14:textFill>
        </w:rPr>
        <w:t>2.4</w:t>
      </w:r>
      <w:r>
        <w:rPr>
          <w:rFonts w:cs="Times New Roman" w:asciiTheme="minorEastAsia" w:hAnsiTheme="minorEastAsia" w:eastAsiaTheme="minorEastAsia"/>
          <w:color w:val="000000" w:themeColor="text1"/>
          <w:sz w:val="24"/>
          <w:szCs w:val="24"/>
          <w14:textFill>
            <w14:solidFill>
              <w14:schemeClr w14:val="tx1"/>
            </w14:solidFill>
          </w14:textFill>
        </w:rPr>
        <w:t>.1甲方</w:t>
      </w:r>
      <w:r>
        <w:rPr>
          <w:rFonts w:hint="eastAsia" w:cs="Times New Roman" w:asciiTheme="minorEastAsia" w:hAnsiTheme="minorEastAsia" w:eastAsiaTheme="minorEastAsia"/>
          <w:color w:val="000000" w:themeColor="text1"/>
          <w:sz w:val="24"/>
          <w:szCs w:val="24"/>
          <w14:textFill>
            <w14:solidFill>
              <w14:schemeClr w14:val="tx1"/>
            </w14:solidFill>
          </w14:textFill>
        </w:rPr>
        <w:t>有权</w:t>
      </w:r>
      <w:r>
        <w:rPr>
          <w:rFonts w:cs="Times New Roman" w:asciiTheme="minorEastAsia" w:hAnsiTheme="minorEastAsia" w:eastAsiaTheme="minorEastAsia"/>
          <w:color w:val="000000" w:themeColor="text1"/>
          <w:sz w:val="24"/>
          <w:szCs w:val="24"/>
          <w14:textFill>
            <w14:solidFill>
              <w14:schemeClr w14:val="tx1"/>
            </w14:solidFill>
          </w14:textFill>
        </w:rPr>
        <w:t>在其认为必要时</w:t>
      </w:r>
      <w:r>
        <w:rPr>
          <w:rFonts w:hint="eastAsia" w:cs="Times New Roman" w:asciiTheme="minorEastAsia" w:hAnsiTheme="minorEastAsia" w:eastAsiaTheme="minorEastAsia"/>
          <w:color w:val="000000" w:themeColor="text1"/>
          <w:sz w:val="24"/>
          <w:szCs w:val="24"/>
          <w14:textFill>
            <w14:solidFill>
              <w14:schemeClr w14:val="tx1"/>
            </w14:solidFill>
          </w14:textFill>
        </w:rPr>
        <w:t>，对乙方是否能够按照合同约定提供服务进行履约检查，以确保乙方所提供的服务能够依约满足甲方项目需求，但不得因履约检查妨碍乙方的正常工作，乙方应予积极配合；</w:t>
      </w:r>
    </w:p>
    <w:p w14:paraId="4D91B1A2">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4</w:t>
      </w:r>
      <w:r>
        <w:rPr>
          <w:rFonts w:hint="eastAsia" w:cs="Times New Roman" w:asciiTheme="minorEastAsia" w:hAnsiTheme="minorEastAsia" w:eastAsiaTheme="minorEastAsia"/>
          <w:color w:val="000000" w:themeColor="text1"/>
          <w:sz w:val="24"/>
          <w:szCs w:val="24"/>
          <w14:textFill>
            <w14:solidFill>
              <w14:schemeClr w14:val="tx1"/>
            </w14:solidFill>
          </w14:textFill>
        </w:rPr>
        <w:t>.2合同履行期间，甲方有权将履行过程中出现的问题反馈给乙方，双方当事人应以书面形式约定需要完善和改进的内容</w:t>
      </w:r>
      <w:bookmarkEnd w:id="146"/>
      <w:bookmarkStart w:id="152" w:name="_Toc186431855"/>
      <w:r>
        <w:rPr>
          <w:rFonts w:hint="eastAsia" w:cs="Times New Roman" w:asciiTheme="minorEastAsia" w:hAnsiTheme="minorEastAsia" w:eastAsiaTheme="minorEastAsia"/>
          <w:color w:val="000000" w:themeColor="text1"/>
          <w:sz w:val="24"/>
          <w:szCs w:val="24"/>
          <w14:textFill>
            <w14:solidFill>
              <w14:schemeClr w14:val="tx1"/>
            </w14:solidFill>
          </w14:textFill>
        </w:rPr>
        <w:t>。</w:t>
      </w:r>
    </w:p>
    <w:bookmarkEnd w:id="152"/>
    <w:p w14:paraId="73498B3F">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53" w:name="_Toc7836"/>
      <w:bookmarkStart w:id="154" w:name="_Toc28451"/>
      <w:bookmarkStart w:id="155" w:name="_Toc19219"/>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5</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结算方式和付款条件</w:t>
      </w:r>
      <w:bookmarkEnd w:id="147"/>
      <w:bookmarkEnd w:id="148"/>
      <w:bookmarkEnd w:id="149"/>
      <w:bookmarkEnd w:id="150"/>
      <w:bookmarkEnd w:id="151"/>
      <w:bookmarkEnd w:id="153"/>
      <w:bookmarkEnd w:id="154"/>
      <w:bookmarkEnd w:id="155"/>
    </w:p>
    <w:p w14:paraId="4D20EF71">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详见</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w:t>
      </w:r>
    </w:p>
    <w:p w14:paraId="2E8BFF87">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56" w:name="_Ref467379863"/>
      <w:bookmarkStart w:id="157" w:name="_Toc279701248"/>
      <w:bookmarkStart w:id="158" w:name="_Ref467379852"/>
      <w:bookmarkStart w:id="159" w:name="_Toc487900358"/>
      <w:bookmarkStart w:id="160" w:name="_Ref467379923"/>
      <w:bookmarkStart w:id="161" w:name="_Toc259093677"/>
      <w:bookmarkStart w:id="162" w:name="_Toc774"/>
      <w:bookmarkStart w:id="163" w:name="_Toc3225"/>
      <w:bookmarkStart w:id="164" w:name="_Toc16110"/>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6</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技术资料</w:t>
      </w:r>
      <w:bookmarkEnd w:id="156"/>
      <w:bookmarkEnd w:id="157"/>
      <w:bookmarkEnd w:id="158"/>
      <w:bookmarkEnd w:id="159"/>
      <w:bookmarkEnd w:id="160"/>
      <w:bookmarkEnd w:id="161"/>
      <w:r>
        <w:rPr>
          <w:rFonts w:cs="Times New Roman" w:asciiTheme="minorEastAsia" w:hAnsiTheme="minorEastAsia" w:eastAsiaTheme="minorEastAsia"/>
          <w:b/>
          <w:bCs/>
          <w:color w:val="000000" w:themeColor="text1"/>
          <w:sz w:val="24"/>
          <w:szCs w:val="24"/>
          <w:lang w:val="zh-CN"/>
          <w14:textFill>
            <w14:solidFill>
              <w14:schemeClr w14:val="tx1"/>
            </w14:solidFill>
          </w14:textFill>
        </w:rPr>
        <w:t>和保密义务</w:t>
      </w:r>
      <w:bookmarkEnd w:id="162"/>
      <w:bookmarkEnd w:id="163"/>
      <w:bookmarkEnd w:id="164"/>
    </w:p>
    <w:p w14:paraId="368A5B61">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6.1</w:t>
      </w:r>
      <w:r>
        <w:rPr>
          <w:rFonts w:hint="eastAsia" w:cs="Times New Roman" w:asciiTheme="minorEastAsia" w:hAnsiTheme="minorEastAsia" w:eastAsiaTheme="minorEastAsia"/>
          <w:color w:val="000000" w:themeColor="text1"/>
          <w:sz w:val="24"/>
          <w:szCs w:val="24"/>
          <w14:textFill>
            <w14:solidFill>
              <w14:schemeClr w14:val="tx1"/>
            </w14:solidFill>
          </w14:textFill>
        </w:rPr>
        <w:t>乙方有权依据合同约定和项目需要，向甲方了解有关情况，调阅有关资料等，甲方应予积极配合；</w:t>
      </w:r>
    </w:p>
    <w:p w14:paraId="3E0E2370">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6</w:t>
      </w:r>
      <w:r>
        <w:rPr>
          <w:rFonts w:hint="eastAsia" w:cs="Times New Roman" w:asciiTheme="minorEastAsia" w:hAnsiTheme="minorEastAsia" w:eastAsiaTheme="minorEastAsia"/>
          <w:color w:val="000000" w:themeColor="text1"/>
          <w:sz w:val="24"/>
          <w:szCs w:val="24"/>
          <w14:textFill>
            <w14:solidFill>
              <w14:schemeClr w14:val="tx1"/>
            </w14:solidFill>
          </w14:textFill>
        </w:rPr>
        <w:t>.2乙方有义务妥善保管和保护由甲方提供的前款信息和资料等；</w:t>
      </w:r>
    </w:p>
    <w:p w14:paraId="5AA2D64A">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6.</w:t>
      </w:r>
      <w:r>
        <w:rPr>
          <w:rFonts w:hint="eastAsia" w:cs="Times New Roman" w:asciiTheme="minorEastAsia" w:hAnsiTheme="minorEastAsia" w:eastAsiaTheme="minorEastAsia"/>
          <w:color w:val="000000" w:themeColor="text1"/>
          <w:sz w:val="24"/>
          <w:szCs w:val="24"/>
          <w14:textFill>
            <w14:solidFill>
              <w14:schemeClr w14:val="tx1"/>
            </w14:solidFill>
          </w14:textFill>
        </w:rPr>
        <w:t>3除非依照法律规定或者对方当事人的书面同意，任何一方均应保证不向任何第三方提供或披露有关合同的或者履行合同过程中知悉的对方当事人任何未公开的信息和资料，包括但不限于</w:t>
      </w:r>
      <w:r>
        <w:rPr>
          <w:rFonts w:cs="Times New Roman" w:asciiTheme="minorEastAsia" w:hAnsiTheme="minorEastAsia" w:eastAsiaTheme="minorEastAsia"/>
          <w:color w:val="000000" w:themeColor="text1"/>
          <w:sz w:val="24"/>
          <w:szCs w:val="24"/>
          <w14:textFill>
            <w14:solidFill>
              <w14:schemeClr w14:val="tx1"/>
            </w14:solidFill>
          </w14:textFill>
        </w:rPr>
        <w:t>技术情报</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技术资料</w:t>
      </w:r>
      <w:r>
        <w:rPr>
          <w:rFonts w:hint="eastAsia" w:cs="Times New Roman" w:asciiTheme="minorEastAsia" w:hAnsiTheme="minorEastAsia" w:eastAsiaTheme="minorEastAsia"/>
          <w:color w:val="000000" w:themeColor="text1"/>
          <w:sz w:val="24"/>
          <w:szCs w:val="24"/>
          <w14:textFill>
            <w14:solidFill>
              <w14:schemeClr w14:val="tx1"/>
            </w14:solidFill>
          </w14:textFill>
        </w:rPr>
        <w:t>、商业秘密和商业信息等，并采取一切合理和必要措施和方式防止任何第三方接触到对方当事人的上述保密信息和资料。</w:t>
      </w:r>
    </w:p>
    <w:p w14:paraId="55362AB3">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65" w:name="_Toc7860"/>
      <w:r>
        <w:rPr>
          <w:rFonts w:cs="Times New Roman" w:asciiTheme="minorEastAsia" w:hAnsiTheme="minorEastAsia" w:eastAsiaTheme="minorEastAsia"/>
          <w:b/>
          <w:bCs/>
          <w:color w:val="000000" w:themeColor="text1"/>
          <w:sz w:val="24"/>
          <w:szCs w:val="24"/>
          <w:lang w:val="zh-CN"/>
          <w14:textFill>
            <w14:solidFill>
              <w14:schemeClr w14:val="tx1"/>
            </w14:solidFill>
          </w14:textFill>
        </w:rPr>
        <w:t>2.7 质量保证</w:t>
      </w:r>
      <w:bookmarkEnd w:id="165"/>
    </w:p>
    <w:p w14:paraId="7902C3B4">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7</w:t>
      </w:r>
      <w:r>
        <w:rPr>
          <w:rFonts w:hint="eastAsia" w:cs="Times New Roman" w:asciiTheme="minorEastAsia" w:hAnsiTheme="minorEastAsia" w:eastAsiaTheme="minorEastAsia"/>
          <w:color w:val="000000" w:themeColor="text1"/>
          <w:sz w:val="24"/>
          <w:szCs w:val="24"/>
          <w14:textFill>
            <w14:solidFill>
              <w14:schemeClr w14:val="tx1"/>
            </w14:solidFill>
          </w14:textFill>
        </w:rPr>
        <w:t>.1乙方应建立和完善履行合同的内部质量保证体系，并提供相关内部规章制度给甲方，以便甲方进行监督检查；</w:t>
      </w:r>
    </w:p>
    <w:p w14:paraId="52A7EFDC">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7</w:t>
      </w:r>
      <w:r>
        <w:rPr>
          <w:rFonts w:hint="eastAsia" w:cs="Times New Roman" w:asciiTheme="minorEastAsia" w:hAnsiTheme="minorEastAsia" w:eastAsiaTheme="minorEastAsia"/>
          <w:color w:val="000000" w:themeColor="text1"/>
          <w:sz w:val="24"/>
          <w:szCs w:val="24"/>
          <w14:textFill>
            <w14:solidFill>
              <w14:schemeClr w14:val="tx1"/>
            </w14:solidFill>
          </w14:textFill>
        </w:rPr>
        <w:t>.2乙方应保证履行合同的人员数量和素质、软件和硬件设备的配置、场地、环境和设施等满足全面履行合同的要求，并应接受甲方的监督检查。</w:t>
      </w:r>
    </w:p>
    <w:p w14:paraId="101C3A94">
      <w:pPr>
        <w:spacing w:line="360" w:lineRule="auto"/>
        <w:ind w:firstLine="437"/>
        <w:outlineLvl w:val="2"/>
        <w:rPr>
          <w:rFonts w:cs="Times New Roman" w:asciiTheme="minorEastAsia" w:hAnsiTheme="minorEastAsia" w:eastAsiaTheme="minorEastAsia"/>
          <w:b/>
          <w:color w:val="000000" w:themeColor="text1"/>
          <w:sz w:val="24"/>
          <w:szCs w:val="24"/>
          <w14:textFill>
            <w14:solidFill>
              <w14:schemeClr w14:val="tx1"/>
            </w14:solidFill>
          </w14:textFill>
        </w:rPr>
      </w:pPr>
      <w:bookmarkStart w:id="166" w:name="_Toc22267"/>
      <w:r>
        <w:rPr>
          <w:rFonts w:hint="eastAsia" w:cs="Times New Roman" w:asciiTheme="minorEastAsia" w:hAnsiTheme="minorEastAsia" w:eastAsiaTheme="minorEastAsia"/>
          <w:b/>
          <w:color w:val="000000" w:themeColor="text1"/>
          <w:sz w:val="24"/>
          <w:szCs w:val="24"/>
          <w14:textFill>
            <w14:solidFill>
              <w14:schemeClr w14:val="tx1"/>
            </w14:solidFill>
          </w14:textFill>
        </w:rPr>
        <w:t>2.8 延迟履行</w:t>
      </w:r>
      <w:bookmarkEnd w:id="166"/>
    </w:p>
    <w:p w14:paraId="5E1FE930">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在合同履行过程中，如果乙方遇到不能按时</w:t>
      </w:r>
      <w:r>
        <w:rPr>
          <w:rFonts w:hint="eastAsia" w:cs="Times New Roman" w:asciiTheme="minorEastAsia" w:hAnsiTheme="minorEastAsia" w:eastAsiaTheme="minorEastAsia"/>
          <w:color w:val="000000" w:themeColor="text1"/>
          <w:sz w:val="24"/>
          <w:szCs w:val="24"/>
          <w14:textFill>
            <w14:solidFill>
              <w14:schemeClr w14:val="tx1"/>
            </w14:solidFill>
          </w14:textFill>
        </w:rPr>
        <w:t>提供服务</w:t>
      </w:r>
      <w:r>
        <w:rPr>
          <w:rFonts w:cs="Times New Roman" w:asciiTheme="minorEastAsia" w:hAnsiTheme="minorEastAsia" w:eastAsiaTheme="minorEastAsia"/>
          <w:color w:val="000000" w:themeColor="text1"/>
          <w:sz w:val="24"/>
          <w:szCs w:val="24"/>
          <w14:textFill>
            <w14:solidFill>
              <w14:schemeClr w14:val="tx1"/>
            </w14:solidFill>
          </w14:textFill>
        </w:rPr>
        <w:t>的情况，应及时以书面形式将不能按时</w:t>
      </w:r>
      <w:r>
        <w:rPr>
          <w:rFonts w:hint="eastAsia" w:cs="Times New Roman" w:asciiTheme="minorEastAsia" w:hAnsiTheme="minorEastAsia" w:eastAsiaTheme="minorEastAsia"/>
          <w:color w:val="000000" w:themeColor="text1"/>
          <w:sz w:val="24"/>
          <w:szCs w:val="24"/>
          <w14:textFill>
            <w14:solidFill>
              <w14:schemeClr w14:val="tx1"/>
            </w14:solidFill>
          </w14:textFill>
        </w:rPr>
        <w:t>提供服务</w:t>
      </w:r>
      <w:r>
        <w:rPr>
          <w:rFonts w:cs="Times New Roman" w:asciiTheme="minorEastAsia" w:hAnsiTheme="minorEastAsia" w:eastAsiaTheme="minorEastAsia"/>
          <w:color w:val="000000" w:themeColor="text1"/>
          <w:sz w:val="24"/>
          <w:szCs w:val="24"/>
          <w14:textFill>
            <w14:solidFill>
              <w14:schemeClr w14:val="tx1"/>
            </w14:solidFill>
          </w14:textFill>
        </w:rPr>
        <w:t>的理由、预期延误时间通知甲方</w:t>
      </w:r>
      <w:r>
        <w:rPr>
          <w:rFonts w:hint="eastAsia" w:cs="Times New Roman" w:asciiTheme="minorEastAsia" w:hAnsiTheme="minorEastAsia" w:eastAsiaTheme="minorEastAsia"/>
          <w:color w:val="000000" w:themeColor="text1"/>
          <w:sz w:val="24"/>
          <w:szCs w:val="24"/>
          <w14:textFill>
            <w14:solidFill>
              <w14:schemeClr w14:val="tx1"/>
            </w14:solidFill>
          </w14:textFill>
        </w:rPr>
        <w:t>；甲</w:t>
      </w:r>
      <w:r>
        <w:rPr>
          <w:rFonts w:cs="Times New Roman" w:asciiTheme="minorEastAsia" w:hAnsiTheme="minorEastAsia" w:eastAsiaTheme="minorEastAsia"/>
          <w:color w:val="000000" w:themeColor="text1"/>
          <w:sz w:val="24"/>
          <w:szCs w:val="24"/>
          <w14:textFill>
            <w14:solidFill>
              <w14:schemeClr w14:val="tx1"/>
            </w14:solidFill>
          </w14:textFill>
        </w:rPr>
        <w:t>方收到乙方通知后，认为其理由正当的，可以书面形式酌情同意乙方可以延长</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的具体时间。</w:t>
      </w:r>
    </w:p>
    <w:p w14:paraId="2906B916">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67" w:name="_Toc7502"/>
      <w:bookmarkStart w:id="168" w:name="_Toc487900364"/>
      <w:bookmarkStart w:id="169" w:name="_Toc279701254"/>
      <w:bookmarkStart w:id="170" w:name="_Toc259093683"/>
      <w:bookmarkStart w:id="171" w:name="_Ref467378121"/>
      <w:r>
        <w:rPr>
          <w:rFonts w:cs="Times New Roman" w:asciiTheme="minorEastAsia" w:hAnsiTheme="minorEastAsia" w:eastAsiaTheme="minorEastAsia"/>
          <w:b/>
          <w:bCs/>
          <w:color w:val="000000" w:themeColor="text1"/>
          <w:sz w:val="24"/>
          <w:szCs w:val="24"/>
          <w:lang w:val="zh-CN"/>
          <w14:textFill>
            <w14:solidFill>
              <w14:schemeClr w14:val="tx1"/>
            </w14:solidFill>
          </w14:textFill>
        </w:rPr>
        <w:t>2.9 合同变更</w:t>
      </w:r>
      <w:bookmarkEnd w:id="167"/>
    </w:p>
    <w:p w14:paraId="23006B2D">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9</w:t>
      </w:r>
      <w:r>
        <w:rPr>
          <w:rFonts w:hint="eastAsia" w:cs="Times New Roman" w:asciiTheme="minorEastAsia" w:hAnsiTheme="minorEastAsia" w:eastAsiaTheme="minorEastAsia"/>
          <w:color w:val="000000" w:themeColor="text1"/>
          <w:sz w:val="24"/>
          <w:szCs w:val="24"/>
          <w14:textFill>
            <w14:solidFill>
              <w14:schemeClr w14:val="tx1"/>
            </w14:solidFill>
          </w14:textFill>
        </w:rPr>
        <w:t>.1双方当事人协商一致，可以签订书面补充合同的形式变更合同，但不得违背采购文件确定的事项；</w:t>
      </w:r>
    </w:p>
    <w:p w14:paraId="6F8CB465">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9</w:t>
      </w:r>
      <w:r>
        <w:rPr>
          <w:rFonts w:hint="eastAsia" w:cs="Times New Roman" w:asciiTheme="minorEastAsia" w:hAnsiTheme="minorEastAsia" w:eastAsiaTheme="minorEastAsia"/>
          <w:color w:val="000000" w:themeColor="text1"/>
          <w:sz w:val="24"/>
          <w:szCs w:val="24"/>
          <w14:textFill>
            <w14:solidFill>
              <w14:schemeClr w14:val="tx1"/>
            </w14:solidFill>
          </w14:textFill>
        </w:rPr>
        <w:t>.2合同继续履行将损害国家利益和社会公共利益的，双方当事人应当以书面形式变更合同。有过错的一方应当承担赔偿责任，双方当事人都有过错的，各自承担相应的责任。</w:t>
      </w:r>
      <w:bookmarkStart w:id="172" w:name="_Toc487900369"/>
      <w:bookmarkStart w:id="173" w:name="_Toc259093688"/>
      <w:bookmarkStart w:id="174" w:name="_Toc279701259"/>
    </w:p>
    <w:p w14:paraId="1D44D86E">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75" w:name="_Toc22955"/>
      <w:bookmarkStart w:id="176" w:name="_Toc15237"/>
      <w:bookmarkStart w:id="177" w:name="_Toc10366"/>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0</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合同转让</w:t>
      </w:r>
      <w:bookmarkEnd w:id="172"/>
      <w:bookmarkEnd w:id="173"/>
      <w:bookmarkEnd w:id="174"/>
      <w:r>
        <w:rPr>
          <w:rFonts w:cs="Times New Roman" w:asciiTheme="minorEastAsia" w:hAnsiTheme="minorEastAsia" w:eastAsiaTheme="minorEastAsia"/>
          <w:b/>
          <w:bCs/>
          <w:color w:val="000000" w:themeColor="text1"/>
          <w:sz w:val="24"/>
          <w:szCs w:val="24"/>
          <w:lang w:val="zh-CN"/>
          <w14:textFill>
            <w14:solidFill>
              <w14:schemeClr w14:val="tx1"/>
            </w14:solidFill>
          </w14:textFill>
        </w:rPr>
        <w:t>和分包</w:t>
      </w:r>
      <w:bookmarkEnd w:id="175"/>
      <w:bookmarkEnd w:id="176"/>
      <w:bookmarkEnd w:id="177"/>
    </w:p>
    <w:p w14:paraId="295F579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合同的权利义务依法不</w:t>
      </w:r>
      <w:r>
        <w:rPr>
          <w:rFonts w:hint="eastAsia" w:cs="Times New Roman" w:asciiTheme="minorEastAsia" w:hAnsiTheme="minorEastAsia" w:eastAsiaTheme="minorEastAsia"/>
          <w:color w:val="000000" w:themeColor="text1"/>
          <w:sz w:val="24"/>
          <w:szCs w:val="24"/>
          <w14:textFill>
            <w14:solidFill>
              <w14:schemeClr w14:val="tx1"/>
            </w14:solidFill>
          </w14:textFill>
        </w:rPr>
        <w:t>得</w:t>
      </w:r>
      <w:r>
        <w:rPr>
          <w:rFonts w:cs="Times New Roman" w:asciiTheme="minorEastAsia" w:hAnsiTheme="minorEastAsia" w:eastAsiaTheme="minorEastAsia"/>
          <w:color w:val="000000" w:themeColor="text1"/>
          <w:sz w:val="24"/>
          <w:szCs w:val="24"/>
          <w14:textFill>
            <w14:solidFill>
              <w14:schemeClr w14:val="tx1"/>
            </w14:solidFill>
          </w14:textFill>
        </w:rPr>
        <w:t>转让</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但经甲方</w:t>
      </w:r>
      <w:r>
        <w:rPr>
          <w:rFonts w:hint="eastAsia" w:cs="Times New Roman" w:asciiTheme="minorEastAsia" w:hAnsiTheme="minorEastAsia" w:eastAsiaTheme="minorEastAsia"/>
          <w:color w:val="000000" w:themeColor="text1"/>
          <w:sz w:val="24"/>
          <w:szCs w:val="24"/>
          <w14:textFill>
            <w14:solidFill>
              <w14:schemeClr w14:val="tx1"/>
            </w14:solidFill>
          </w14:textFill>
        </w:rPr>
        <w:t>同意，乙方可以依法采取分包方式履行合同，即：依法可以</w:t>
      </w:r>
      <w:r>
        <w:rPr>
          <w:rFonts w:cs="Times New Roman" w:asciiTheme="minorEastAsia" w:hAnsiTheme="minorEastAsia" w:eastAsiaTheme="minorEastAsia"/>
          <w:color w:val="000000" w:themeColor="text1"/>
          <w:sz w:val="24"/>
          <w:szCs w:val="24"/>
          <w14:textFill>
            <w14:solidFill>
              <w14:schemeClr w14:val="tx1"/>
            </w14:solidFill>
          </w14:textFill>
        </w:rPr>
        <w:t>将合同项下的部分非主体、非关键性工作分包给他人完成</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接受分包的人应当具备相应的资格条件，并不得再次分包</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且乙方应就分包项目向甲方负责</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并</w:t>
      </w:r>
      <w:r>
        <w:rPr>
          <w:rFonts w:hint="eastAsia" w:cs="Times New Roman" w:asciiTheme="minorEastAsia" w:hAnsiTheme="minorEastAsia" w:eastAsiaTheme="minorEastAsia"/>
          <w:color w:val="000000" w:themeColor="text1"/>
          <w:sz w:val="24"/>
          <w:szCs w:val="24"/>
          <w14:textFill>
            <w14:solidFill>
              <w14:schemeClr w14:val="tx1"/>
            </w14:solidFill>
          </w14:textFill>
        </w:rPr>
        <w:t>与分包供应商就分包项目向甲方承担连带责任。</w:t>
      </w:r>
    </w:p>
    <w:p w14:paraId="7F66BA88">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78" w:name="_Toc14066"/>
      <w:bookmarkStart w:id="179" w:name="_Toc16508"/>
      <w:bookmarkStart w:id="180" w:name="_Toc13566"/>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 不可抗力</w:t>
      </w:r>
      <w:bookmarkEnd w:id="178"/>
      <w:bookmarkEnd w:id="179"/>
      <w:bookmarkEnd w:id="180"/>
    </w:p>
    <w:p w14:paraId="256AD638">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1.1如果任何一方遭遇法律规定的不可抗力，致使合同履行受阻时，履行合同的期限应予延长，延长的期限应相当于不可抗力所影响的时间</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460BAC0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.2因不可抗力致使不能实现合同目的的，当事人可以解除合同；</w:t>
      </w:r>
    </w:p>
    <w:p w14:paraId="32F1B6A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.3因</w:t>
      </w:r>
      <w:r>
        <w:rPr>
          <w:rFonts w:cs="Times New Roman" w:asciiTheme="minorEastAsia" w:hAnsiTheme="minorEastAsia" w:eastAsiaTheme="minorEastAsia"/>
          <w:color w:val="000000" w:themeColor="text1"/>
          <w:sz w:val="24"/>
          <w:szCs w:val="24"/>
          <w14:textFill>
            <w14:solidFill>
              <w14:schemeClr w14:val="tx1"/>
            </w14:solidFill>
          </w14:textFill>
        </w:rPr>
        <w:t>不可抗力致使合同有变更必要的，双方当事人应在</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约定时间内以书面形式变更合同</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2FE8F679">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4</w:t>
      </w:r>
      <w:r>
        <w:rPr>
          <w:rFonts w:cs="Times New Roman" w:asciiTheme="minorEastAsia" w:hAnsiTheme="minorEastAsia" w:eastAsiaTheme="minorEastAsia"/>
          <w:color w:val="000000" w:themeColor="text1"/>
          <w:sz w:val="24"/>
          <w:szCs w:val="24"/>
          <w14:textFill>
            <w14:solidFill>
              <w14:schemeClr w14:val="tx1"/>
            </w14:solidFill>
          </w14:textFill>
        </w:rPr>
        <w:t>受</w:t>
      </w:r>
      <w:r>
        <w:rPr>
          <w:rFonts w:hint="eastAsia" w:cs="Times New Roman" w:asciiTheme="minorEastAsia" w:hAnsiTheme="minorEastAsia" w:eastAsiaTheme="minorEastAsia"/>
          <w:color w:val="000000" w:themeColor="text1"/>
          <w:sz w:val="24"/>
          <w:szCs w:val="24"/>
          <w14:textFill>
            <w14:solidFill>
              <w14:schemeClr w14:val="tx1"/>
            </w14:solidFill>
          </w14:textFill>
        </w:rPr>
        <w:t>不可抗力</w:t>
      </w:r>
      <w:r>
        <w:rPr>
          <w:rFonts w:cs="Times New Roman" w:asciiTheme="minorEastAsia" w:hAnsiTheme="minorEastAsia" w:eastAsiaTheme="minorEastAsia"/>
          <w:color w:val="000000" w:themeColor="text1"/>
          <w:sz w:val="24"/>
          <w:szCs w:val="24"/>
          <w14:textFill>
            <w14:solidFill>
              <w14:schemeClr w14:val="tx1"/>
            </w14:solidFill>
          </w14:textFill>
        </w:rPr>
        <w:t>影响的一方在不可抗力发生后</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应在</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约定时间内以书面形式通知</w:t>
      </w:r>
      <w:r>
        <w:rPr>
          <w:rFonts w:hint="eastAsia" w:cs="Times New Roman" w:asciiTheme="minorEastAsia" w:hAnsiTheme="minorEastAsia" w:eastAsiaTheme="minorEastAsia"/>
          <w:color w:val="000000" w:themeColor="text1"/>
          <w:sz w:val="24"/>
          <w:szCs w:val="24"/>
          <w14:textFill>
            <w14:solidFill>
              <w14:schemeClr w14:val="tx1"/>
            </w14:solidFill>
          </w14:textFill>
        </w:rPr>
        <w:t>对</w:t>
      </w:r>
      <w:r>
        <w:rPr>
          <w:rFonts w:cs="Times New Roman" w:asciiTheme="minorEastAsia" w:hAnsiTheme="minorEastAsia" w:eastAsiaTheme="minorEastAsia"/>
          <w:color w:val="000000" w:themeColor="text1"/>
          <w:sz w:val="24"/>
          <w:szCs w:val="24"/>
          <w14:textFill>
            <w14:solidFill>
              <w14:schemeClr w14:val="tx1"/>
            </w14:solidFill>
          </w14:textFill>
        </w:rPr>
        <w:t>方当事人，并在</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约定时间内，将有关部门出具的证明文件送达</w:t>
      </w:r>
      <w:r>
        <w:rPr>
          <w:rFonts w:hint="eastAsia" w:cs="Times New Roman" w:asciiTheme="minorEastAsia" w:hAnsiTheme="minorEastAsia" w:eastAsiaTheme="minorEastAsia"/>
          <w:color w:val="000000" w:themeColor="text1"/>
          <w:sz w:val="24"/>
          <w:szCs w:val="24"/>
          <w14:textFill>
            <w14:solidFill>
              <w14:schemeClr w14:val="tx1"/>
            </w14:solidFill>
          </w14:textFill>
        </w:rPr>
        <w:t>对方当事人</w:t>
      </w:r>
      <w:r>
        <w:rPr>
          <w:rFonts w:cs="Times New Roman" w:asciiTheme="minorEastAsia" w:hAnsiTheme="minorEastAsia" w:eastAsiaTheme="minorEastAsia"/>
          <w:color w:val="000000" w:themeColor="text1"/>
          <w:sz w:val="24"/>
          <w:szCs w:val="24"/>
          <w14:textFill>
            <w14:solidFill>
              <w14:schemeClr w14:val="tx1"/>
            </w14:solidFill>
          </w14:textFill>
        </w:rPr>
        <w:t>。</w:t>
      </w:r>
    </w:p>
    <w:p w14:paraId="06E4AF67">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81" w:name="_Toc6969"/>
      <w:bookmarkStart w:id="182" w:name="_Toc689"/>
      <w:bookmarkStart w:id="183" w:name="_Toc487900365"/>
      <w:bookmarkStart w:id="184" w:name="_Toc279701255"/>
      <w:bookmarkStart w:id="185" w:name="_Toc259093684"/>
      <w:bookmarkStart w:id="186" w:name="_Toc30676"/>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12</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税费</w:t>
      </w:r>
      <w:bookmarkEnd w:id="181"/>
      <w:bookmarkEnd w:id="182"/>
      <w:bookmarkEnd w:id="183"/>
      <w:bookmarkEnd w:id="184"/>
      <w:bookmarkEnd w:id="185"/>
      <w:bookmarkEnd w:id="186"/>
    </w:p>
    <w:p w14:paraId="4AA6E6D8">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与合同有关的一切税费</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均按照中华人民共和国法律的相关规定</w:t>
      </w:r>
      <w:r>
        <w:rPr>
          <w:rFonts w:hint="eastAsia" w:cs="Times New Roman" w:asciiTheme="minorEastAsia" w:hAnsiTheme="minorEastAsia" w:eastAsiaTheme="minorEastAsia"/>
          <w:color w:val="000000" w:themeColor="text1"/>
          <w:sz w:val="24"/>
          <w:szCs w:val="24"/>
          <w14:textFill>
            <w14:solidFill>
              <w14:schemeClr w14:val="tx1"/>
            </w14:solidFill>
          </w14:textFill>
        </w:rPr>
        <w:t>缴纳</w:t>
      </w:r>
      <w:r>
        <w:rPr>
          <w:rFonts w:cs="Times New Roman" w:asciiTheme="minorEastAsia" w:hAnsiTheme="minorEastAsia" w:eastAsiaTheme="minorEastAsia"/>
          <w:color w:val="000000" w:themeColor="text1"/>
          <w:sz w:val="24"/>
          <w:szCs w:val="24"/>
          <w14:textFill>
            <w14:solidFill>
              <w14:schemeClr w14:val="tx1"/>
            </w14:solidFill>
          </w14:textFill>
        </w:rPr>
        <w:t>。</w:t>
      </w:r>
    </w:p>
    <w:p w14:paraId="4C621D8B">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87" w:name="_Toc7102"/>
      <w:bookmarkStart w:id="188" w:name="_Toc487900368"/>
      <w:bookmarkStart w:id="189" w:name="_Toc259093687"/>
      <w:bookmarkStart w:id="190" w:name="_Toc279701258"/>
      <w:bookmarkStart w:id="191" w:name="_Toc16959"/>
      <w:bookmarkStart w:id="192" w:name="_Toc8298"/>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13</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乙方破产</w:t>
      </w:r>
      <w:bookmarkEnd w:id="187"/>
      <w:bookmarkEnd w:id="188"/>
      <w:bookmarkEnd w:id="189"/>
      <w:bookmarkEnd w:id="190"/>
      <w:bookmarkEnd w:id="191"/>
      <w:bookmarkEnd w:id="192"/>
    </w:p>
    <w:p w14:paraId="75C0776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如果乙方破产导致合同无法履行时，甲方可以书面形式通知乙方终止合同且不给予乙方任何补偿和赔偿</w:t>
      </w:r>
      <w:r>
        <w:rPr>
          <w:rFonts w:hint="eastAsia" w:cs="Times New Roman" w:asciiTheme="minorEastAsia" w:hAnsiTheme="minorEastAsia" w:eastAsiaTheme="minorEastAsia"/>
          <w:color w:val="000000" w:themeColor="text1"/>
          <w:sz w:val="24"/>
          <w:szCs w:val="24"/>
          <w14:textFill>
            <w14:solidFill>
              <w14:schemeClr w14:val="tx1"/>
            </w14:solidFill>
          </w14:textFill>
        </w:rPr>
        <w:t>，但合同的</w:t>
      </w:r>
      <w:r>
        <w:rPr>
          <w:rFonts w:cs="Times New Roman" w:asciiTheme="minorEastAsia" w:hAnsiTheme="minorEastAsia" w:eastAsiaTheme="minorEastAsia"/>
          <w:color w:val="000000" w:themeColor="text1"/>
          <w:sz w:val="24"/>
          <w:szCs w:val="24"/>
          <w14:textFill>
            <w14:solidFill>
              <w14:schemeClr w14:val="tx1"/>
            </w14:solidFill>
          </w14:textFill>
        </w:rPr>
        <w:t>终止不损害或不影响甲方已经采取或将要采取的任何要求乙方支付违约金</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赔偿损失等的行动或补救措施的权利</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6657A4A5">
      <w:pPr>
        <w:spacing w:line="360" w:lineRule="auto"/>
        <w:ind w:firstLine="437"/>
        <w:outlineLvl w:val="2"/>
        <w:rPr>
          <w:rFonts w:cs="Times New Roman" w:asciiTheme="minorEastAsia" w:hAnsiTheme="minorEastAsia" w:eastAsiaTheme="minorEastAsia"/>
          <w:b/>
          <w:color w:val="000000" w:themeColor="text1"/>
          <w:sz w:val="24"/>
          <w:szCs w:val="24"/>
          <w14:textFill>
            <w14:solidFill>
              <w14:schemeClr w14:val="tx1"/>
            </w14:solidFill>
          </w14:textFill>
        </w:rPr>
      </w:pPr>
      <w:bookmarkStart w:id="193" w:name="_Toc29333"/>
      <w:bookmarkStart w:id="194" w:name="_Toc6134"/>
      <w:bookmarkStart w:id="195" w:name="_Toc15387"/>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4</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合同中止、终止</w:t>
      </w:r>
      <w:bookmarkEnd w:id="193"/>
      <w:bookmarkEnd w:id="194"/>
      <w:bookmarkEnd w:id="195"/>
    </w:p>
    <w:p w14:paraId="45011189">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4</w:t>
      </w:r>
      <w:r>
        <w:rPr>
          <w:rFonts w:hint="eastAsia" w:cs="Times New Roman" w:asciiTheme="minorEastAsia" w:hAnsiTheme="minorEastAsia" w:eastAsiaTheme="minorEastAsia"/>
          <w:color w:val="000000" w:themeColor="text1"/>
          <w:sz w:val="24"/>
          <w:szCs w:val="24"/>
          <w14:textFill>
            <w14:solidFill>
              <w14:schemeClr w14:val="tx1"/>
            </w14:solidFill>
          </w14:textFill>
        </w:rPr>
        <w:t>.1双方当事人不得擅自中止或者终止合同；</w:t>
      </w:r>
    </w:p>
    <w:p w14:paraId="1B07EF06">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4</w:t>
      </w:r>
      <w:r>
        <w:rPr>
          <w:rFonts w:hint="eastAsia" w:cs="Times New Roman" w:asciiTheme="minorEastAsia" w:hAnsiTheme="minorEastAsia" w:eastAsiaTheme="minorEastAsia"/>
          <w:color w:val="000000" w:themeColor="text1"/>
          <w:sz w:val="24"/>
          <w:szCs w:val="24"/>
          <w14:textFill>
            <w14:solidFill>
              <w14:schemeClr w14:val="tx1"/>
            </w14:solidFill>
          </w14:textFill>
        </w:rPr>
        <w:t>.2合同继续履行将损害国家利益和社会公共利益的，双方当事人应当中止或者终止合同。有过错的一方应当承担赔偿责任，双方当事人都有过错的，各自承担相应的责任。</w:t>
      </w:r>
    </w:p>
    <w:p w14:paraId="52A7CCA3">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96" w:name="_Toc14563"/>
      <w:bookmarkStart w:id="197" w:name="_Toc1125"/>
      <w:bookmarkStart w:id="198" w:name="_Toc6596"/>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5</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检验和验收</w:t>
      </w:r>
      <w:bookmarkEnd w:id="196"/>
      <w:bookmarkEnd w:id="197"/>
      <w:bookmarkEnd w:id="198"/>
    </w:p>
    <w:p w14:paraId="5AF6C8E2">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5</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1乙方按照</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的约定</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定期提交服务报告</w:t>
      </w:r>
      <w:r>
        <w:rPr>
          <w:rFonts w:hint="eastAsia" w:cs="Times New Roman" w:asciiTheme="minorEastAsia" w:hAnsiTheme="minorEastAsia" w:eastAsiaTheme="minorEastAsia"/>
          <w:color w:val="000000" w:themeColor="text1"/>
          <w:sz w:val="24"/>
          <w:szCs w:val="24"/>
          <w14:textFill>
            <w14:solidFill>
              <w14:schemeClr w14:val="tx1"/>
            </w14:solidFill>
          </w14:textFill>
        </w:rPr>
        <w:t>，甲方按照</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的约定进行定期验收</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6295CD9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692BDD8">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2.15.3检验和验收标准、程序等具体内容以及前述验收书的效力详见</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hint="eastAsia" w:cs="Times New Roman" w:asciiTheme="minorEastAsia" w:hAnsiTheme="minorEastAsia" w:eastAsiaTheme="minorEastAsia"/>
          <w:i/>
          <w:color w:val="000000" w:themeColor="text1"/>
          <w:sz w:val="24"/>
          <w:szCs w:val="24"/>
          <w14:textFill>
            <w14:solidFill>
              <w14:schemeClr w14:val="tx1"/>
            </w14:solidFill>
          </w14:textFill>
        </w:rPr>
        <w:t>。</w:t>
      </w:r>
    </w:p>
    <w:bookmarkEnd w:id="168"/>
    <w:bookmarkEnd w:id="169"/>
    <w:bookmarkEnd w:id="170"/>
    <w:bookmarkEnd w:id="171"/>
    <w:p w14:paraId="762E2F5E">
      <w:pPr>
        <w:spacing w:line="360" w:lineRule="auto"/>
        <w:ind w:firstLine="437"/>
        <w:outlineLvl w:val="2"/>
        <w:rPr>
          <w:rFonts w:cs="Times New Roman" w:asciiTheme="minorEastAsia" w:hAnsiTheme="minorEastAsia" w:eastAsiaTheme="minorEastAsia"/>
          <w:b/>
          <w:bCs/>
          <w:color w:val="000000" w:themeColor="text1"/>
          <w:sz w:val="24"/>
          <w:szCs w:val="24"/>
          <w14:textFill>
            <w14:solidFill>
              <w14:schemeClr w14:val="tx1"/>
            </w14:solidFill>
          </w14:textFill>
        </w:rPr>
      </w:pPr>
      <w:bookmarkStart w:id="199" w:name="_Toc10330"/>
      <w:bookmarkStart w:id="200" w:name="_Toc487900373"/>
      <w:bookmarkStart w:id="201" w:name="_Toc18567"/>
      <w:bookmarkStart w:id="202" w:name="_Toc279701263"/>
      <w:bookmarkStart w:id="203" w:name="_Toc12773"/>
      <w:bookmarkStart w:id="204" w:name="_Toc259093692"/>
      <w:r>
        <w:rPr>
          <w:rFonts w:hint="eastAsia" w:cs="Times New Roman" w:asciiTheme="minorEastAsia" w:hAnsiTheme="minorEastAsia" w:eastAsiaTheme="minorEastAsia"/>
          <w:b/>
          <w:bCs/>
          <w:color w:val="000000" w:themeColor="text1"/>
          <w:sz w:val="24"/>
          <w:szCs w:val="24"/>
          <w14:textFill>
            <w14:solidFill>
              <w14:schemeClr w14:val="tx1"/>
            </w14:solidFill>
          </w14:textFill>
        </w:rPr>
        <w:t>2.</w:t>
      </w:r>
      <w:r>
        <w:rPr>
          <w:rFonts w:cs="Times New Roman" w:asciiTheme="minorEastAsia" w:hAnsiTheme="minorEastAsia" w:eastAsiaTheme="minorEastAsia"/>
          <w:b/>
          <w:bCs/>
          <w:color w:val="000000" w:themeColor="text1"/>
          <w:sz w:val="24"/>
          <w:szCs w:val="24"/>
          <w14:textFill>
            <w14:solidFill>
              <w14:schemeClr w14:val="tx1"/>
            </w14:solidFill>
          </w14:textFill>
        </w:rPr>
        <w:t>16</w:t>
      </w:r>
      <w:r>
        <w:rPr>
          <w:rFonts w:hint="eastAsia" w:cs="Times New Roman" w:asciiTheme="minorEastAsia" w:hAnsiTheme="minorEastAsia" w:eastAsiaTheme="minorEastAsia"/>
          <w:b/>
          <w:bCs/>
          <w:color w:val="000000" w:themeColor="text1"/>
          <w:sz w:val="24"/>
          <w:szCs w:val="24"/>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合同使用的文字和</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适用的法律</w:t>
      </w:r>
      <w:bookmarkEnd w:id="199"/>
      <w:bookmarkEnd w:id="200"/>
      <w:bookmarkEnd w:id="201"/>
      <w:bookmarkEnd w:id="202"/>
      <w:bookmarkEnd w:id="203"/>
      <w:bookmarkEnd w:id="204"/>
    </w:p>
    <w:p w14:paraId="0998AF20">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16.1合同使用汉语书就</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变更和解释</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70BDCB27">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16</w:t>
      </w:r>
      <w:r>
        <w:rPr>
          <w:rFonts w:hint="eastAsia" w:cs="Times New Roman" w:asciiTheme="minorEastAsia" w:hAnsiTheme="minorEastAsia" w:eastAsiaTheme="minorEastAsia"/>
          <w:color w:val="000000" w:themeColor="text1"/>
          <w:sz w:val="24"/>
          <w:szCs w:val="24"/>
          <w14:textFill>
            <w14:solidFill>
              <w14:schemeClr w14:val="tx1"/>
            </w14:solidFill>
          </w14:textFill>
        </w:rPr>
        <w:t>.2合同适用</w:t>
      </w:r>
      <w:r>
        <w:rPr>
          <w:rFonts w:cs="Times New Roman" w:asciiTheme="minorEastAsia" w:hAnsiTheme="minorEastAsia" w:eastAsiaTheme="minorEastAsia"/>
          <w:color w:val="000000" w:themeColor="text1"/>
          <w:sz w:val="24"/>
          <w:szCs w:val="24"/>
          <w14:textFill>
            <w14:solidFill>
              <w14:schemeClr w14:val="tx1"/>
            </w14:solidFill>
          </w14:textFill>
        </w:rPr>
        <w:t>中华人民共和国法律。</w:t>
      </w:r>
    </w:p>
    <w:p w14:paraId="21E4E8F1">
      <w:pPr>
        <w:spacing w:line="360" w:lineRule="auto"/>
        <w:ind w:firstLine="437"/>
        <w:outlineLvl w:val="2"/>
        <w:rPr>
          <w:rFonts w:cs="Times New Roman" w:asciiTheme="minorEastAsia" w:hAnsiTheme="minorEastAsia" w:eastAsiaTheme="minorEastAsia"/>
          <w:b/>
          <w:color w:val="000000" w:themeColor="text1"/>
          <w:sz w:val="24"/>
          <w:szCs w:val="24"/>
          <w14:textFill>
            <w14:solidFill>
              <w14:schemeClr w14:val="tx1"/>
            </w14:solidFill>
          </w14:textFill>
        </w:rPr>
      </w:pPr>
      <w:bookmarkStart w:id="205" w:name="_Toc12004"/>
      <w:bookmarkStart w:id="206" w:name="_Toc279701264"/>
      <w:bookmarkStart w:id="207" w:name="_Toc16673"/>
      <w:bookmarkStart w:id="208" w:name="_Toc3148"/>
      <w:bookmarkStart w:id="209" w:name="_Toc259093693"/>
      <w:bookmarkStart w:id="210" w:name="_Toc487900374"/>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17</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履约保证金</w:t>
      </w:r>
      <w:bookmarkEnd w:id="205"/>
      <w:bookmarkEnd w:id="206"/>
      <w:bookmarkEnd w:id="207"/>
      <w:bookmarkEnd w:id="208"/>
      <w:bookmarkEnd w:id="209"/>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w:t>
      </w:r>
      <w:r>
        <w:rPr>
          <w:rFonts w:hint="eastAsia" w:cs="Times New Roman" w:asciiTheme="minorEastAsia" w:hAnsiTheme="minorEastAsia" w:eastAsiaTheme="minorEastAsia"/>
          <w:b/>
          <w:bCs/>
          <w:color w:val="000000" w:themeColor="text1"/>
          <w:sz w:val="24"/>
          <w:szCs w:val="24"/>
          <w14:textFill>
            <w14:solidFill>
              <w14:schemeClr w14:val="tx1"/>
            </w14:solidFill>
          </w14:textFill>
        </w:rPr>
        <w:t>本项目无履约保证金</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w:t>
      </w:r>
    </w:p>
    <w:p w14:paraId="5A637712">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17</w:t>
      </w:r>
      <w:r>
        <w:rPr>
          <w:rFonts w:hint="eastAsia" w:cs="Times New Roman" w:asciiTheme="minorEastAsia" w:hAnsiTheme="minorEastAsia" w:eastAsiaTheme="minorEastAsia"/>
          <w:color w:val="000000" w:themeColor="text1"/>
          <w:sz w:val="24"/>
          <w:szCs w:val="24"/>
          <w14:textFill>
            <w14:solidFill>
              <w14:schemeClr w14:val="tx1"/>
            </w14:solidFill>
          </w14:textFill>
        </w:rPr>
        <w:t>.1采购文件要求乙方提交履约保证金的，乙方</w:t>
      </w:r>
      <w:r>
        <w:rPr>
          <w:rFonts w:cs="Times New Roman" w:asciiTheme="minorEastAsia" w:hAnsiTheme="minorEastAsia" w:eastAsiaTheme="minorEastAsia"/>
          <w:color w:val="000000" w:themeColor="text1"/>
          <w:sz w:val="24"/>
          <w:szCs w:val="24"/>
          <w14:textFill>
            <w14:solidFill>
              <w14:schemeClr w14:val="tx1"/>
            </w14:solidFill>
          </w14:textFill>
        </w:rPr>
        <w:t>应按</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约定的方式</w:t>
      </w:r>
      <w:r>
        <w:rPr>
          <w:rFonts w:hint="eastAsia" w:cs="Times New Roman" w:asciiTheme="minorEastAsia" w:hAnsiTheme="minorEastAsia" w:eastAsiaTheme="minorEastAsia"/>
          <w:color w:val="000000" w:themeColor="text1"/>
          <w:sz w:val="24"/>
          <w:szCs w:val="24"/>
          <w14:textFill>
            <w14:solidFill>
              <w14:schemeClr w14:val="tx1"/>
            </w14:solidFill>
          </w14:textFill>
        </w:rPr>
        <w:t>，以支票、汇票、本票或者金融机构、担保机构出具的保函等非现金形式提交；</w:t>
      </w:r>
    </w:p>
    <w:p w14:paraId="691EE12D">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17.2履约保证金在</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约定期间内不予退还或者应完全有效</w:t>
      </w:r>
      <w:r>
        <w:rPr>
          <w:rFonts w:hint="eastAsia" w:cs="Times New Roman" w:asciiTheme="minorEastAsia" w:hAnsiTheme="minorEastAsia" w:eastAsiaTheme="minorEastAsia"/>
          <w:color w:val="000000" w:themeColor="text1"/>
          <w:sz w:val="24"/>
          <w:szCs w:val="24"/>
          <w14:textFill>
            <w14:solidFill>
              <w14:schemeClr w14:val="tx1"/>
            </w14:solidFill>
          </w14:textFill>
        </w:rPr>
        <w:t>，前述约定期间届满</w:t>
      </w:r>
      <w:r>
        <w:rPr>
          <w:rFonts w:cs="Times New Roman" w:asciiTheme="minorEastAsia" w:hAnsiTheme="minorEastAsia" w:eastAsiaTheme="minorEastAsia"/>
          <w:color w:val="000000" w:themeColor="text1"/>
          <w:sz w:val="24"/>
          <w:szCs w:val="24"/>
          <w14:textFill>
            <w14:solidFill>
              <w14:schemeClr w14:val="tx1"/>
            </w14:solidFill>
          </w14:textFill>
        </w:rPr>
        <w:t>之日起</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个</w:t>
      </w:r>
      <w:r>
        <w:rPr>
          <w:rFonts w:cs="Times New Roman" w:asciiTheme="minorEastAsia" w:hAnsiTheme="minorEastAsia" w:eastAsiaTheme="minorEastAsia"/>
          <w:color w:val="000000" w:themeColor="text1"/>
          <w:sz w:val="24"/>
          <w:szCs w:val="24"/>
          <w14:textFill>
            <w14:solidFill>
              <w14:schemeClr w14:val="tx1"/>
            </w14:solidFill>
          </w14:textFill>
        </w:rPr>
        <w:t>工作日内，甲方应将履约保证金退还乙方</w:t>
      </w:r>
      <w:r>
        <w:rPr>
          <w:rFonts w:hint="eastAsia" w:cs="Times New Roman" w:asciiTheme="minorEastAsia" w:hAnsiTheme="minorEastAsia" w:eastAsiaTheme="minorEastAsia"/>
          <w:color w:val="000000" w:themeColor="text1"/>
          <w:sz w:val="24"/>
          <w:szCs w:val="24"/>
          <w14:textFill>
            <w14:solidFill>
              <w14:schemeClr w14:val="tx1"/>
            </w14:solidFill>
          </w14:textFill>
        </w:rPr>
        <w:t>，甲方逾期退还履约保证金应承担违约责任。</w:t>
      </w:r>
    </w:p>
    <w:p w14:paraId="01FBCC69">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17</w:t>
      </w:r>
      <w:r>
        <w:rPr>
          <w:rFonts w:hint="eastAsia" w:cs="Times New Roman" w:asciiTheme="minorEastAsia" w:hAnsiTheme="minorEastAsia" w:eastAsiaTheme="minorEastAsia"/>
          <w:color w:val="000000" w:themeColor="text1"/>
          <w:sz w:val="24"/>
          <w:szCs w:val="24"/>
          <w14:textFill>
            <w14:solidFill>
              <w14:schemeClr w14:val="tx1"/>
            </w14:solidFill>
          </w14:textFill>
        </w:rPr>
        <w:t>.3</w:t>
      </w:r>
      <w:r>
        <w:rPr>
          <w:rFonts w:cs="Times New Roman" w:asciiTheme="minorEastAsia" w:hAnsiTheme="minorEastAsia" w:eastAsiaTheme="minorEastAsia"/>
          <w:color w:val="000000" w:themeColor="text1"/>
          <w:sz w:val="24"/>
          <w:szCs w:val="24"/>
          <w14:textFill>
            <w14:solidFill>
              <w14:schemeClr w14:val="tx1"/>
            </w14:solidFill>
          </w14:textFill>
        </w:rPr>
        <w:t>如果乙方不履行合同</w:t>
      </w:r>
      <w:r>
        <w:rPr>
          <w:rFonts w:hint="eastAsia" w:cs="Times New Roman" w:asciiTheme="minorEastAsia" w:hAnsiTheme="minorEastAsia" w:eastAsiaTheme="minorEastAsia"/>
          <w:color w:val="000000" w:themeColor="text1"/>
          <w:sz w:val="24"/>
          <w:szCs w:val="24"/>
          <w14:textFill>
            <w14:solidFill>
              <w14:schemeClr w14:val="tx1"/>
            </w14:solidFill>
          </w14:textFill>
        </w:rPr>
        <w:t>，履约保证金不予退还；如果乙方</w:t>
      </w:r>
      <w:r>
        <w:rPr>
          <w:rFonts w:cs="Times New Roman" w:asciiTheme="minorEastAsia" w:hAnsiTheme="minorEastAsia" w:eastAsiaTheme="minorEastAsia"/>
          <w:color w:val="000000" w:themeColor="text1"/>
          <w:sz w:val="24"/>
          <w:szCs w:val="24"/>
          <w14:textFill>
            <w14:solidFill>
              <w14:schemeClr w14:val="tx1"/>
            </w14:solidFill>
          </w14:textFill>
        </w:rPr>
        <w:t>未能按合同</w:t>
      </w:r>
      <w:r>
        <w:rPr>
          <w:rFonts w:hint="eastAsia" w:cs="Times New Roman" w:asciiTheme="minorEastAsia" w:hAnsiTheme="minorEastAsia" w:eastAsiaTheme="minorEastAsia"/>
          <w:color w:val="000000" w:themeColor="text1"/>
          <w:sz w:val="24"/>
          <w:szCs w:val="24"/>
          <w14:textFill>
            <w14:solidFill>
              <w14:schemeClr w14:val="tx1"/>
            </w14:solidFill>
          </w14:textFill>
        </w:rPr>
        <w:t>约</w:t>
      </w:r>
      <w:r>
        <w:rPr>
          <w:rFonts w:cs="Times New Roman" w:asciiTheme="minorEastAsia" w:hAnsiTheme="minorEastAsia" w:eastAsiaTheme="minorEastAsia"/>
          <w:color w:val="000000" w:themeColor="text1"/>
          <w:sz w:val="24"/>
          <w:szCs w:val="24"/>
          <w14:textFill>
            <w14:solidFill>
              <w14:schemeClr w14:val="tx1"/>
            </w14:solidFill>
          </w14:textFill>
        </w:rPr>
        <w:t>定全面履行义务，那么甲方有权从履约保证金中取得补偿或赔偿</w:t>
      </w:r>
      <w:r>
        <w:rPr>
          <w:rFonts w:hint="eastAsia" w:cs="Times New Roman" w:asciiTheme="minorEastAsia" w:hAnsiTheme="minorEastAsia" w:eastAsiaTheme="minorEastAsia"/>
          <w:color w:val="000000" w:themeColor="text1"/>
          <w:sz w:val="24"/>
          <w:szCs w:val="24"/>
          <w14:textFill>
            <w14:solidFill>
              <w14:schemeClr w14:val="tx1"/>
            </w14:solidFill>
          </w14:textFill>
        </w:rPr>
        <w:t>，同时不影响甲方要求乙方承担合同约定的超过履约保证金的违约责任的权利。</w:t>
      </w:r>
    </w:p>
    <w:bookmarkEnd w:id="210"/>
    <w:p w14:paraId="24076E58">
      <w:pPr>
        <w:spacing w:line="360" w:lineRule="auto"/>
        <w:ind w:firstLine="437"/>
        <w:outlineLvl w:val="2"/>
        <w:rPr>
          <w:rFonts w:cs="Times New Roman" w:asciiTheme="minorEastAsia" w:hAnsiTheme="minorEastAsia" w:eastAsiaTheme="minorEastAsia"/>
          <w:b/>
          <w:color w:val="000000" w:themeColor="text1"/>
          <w:sz w:val="24"/>
          <w:szCs w:val="24"/>
          <w14:textFill>
            <w14:solidFill>
              <w14:schemeClr w14:val="tx1"/>
            </w14:solidFill>
          </w14:textFill>
        </w:rPr>
      </w:pPr>
      <w:bookmarkStart w:id="211" w:name="_Toc6885"/>
      <w:bookmarkStart w:id="212" w:name="_Toc19890"/>
      <w:bookmarkStart w:id="213" w:name="_Toc14001"/>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18</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合同份数</w:t>
      </w:r>
      <w:bookmarkEnd w:id="211"/>
      <w:bookmarkEnd w:id="212"/>
      <w:bookmarkEnd w:id="213"/>
    </w:p>
    <w:p w14:paraId="7D7C003E">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合同份数按</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规定</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每份均具有同等法律效力</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7EF1EA06">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br w:type="page"/>
      </w:r>
      <w:bookmarkStart w:id="214" w:name="_Toc3736"/>
      <w:r>
        <w:rPr>
          <w:rFonts w:hint="eastAsia" w:asciiTheme="minorEastAsia" w:hAnsiTheme="minorEastAsia" w:eastAsiaTheme="minorEastAsia"/>
          <w:b/>
          <w:color w:val="000000" w:themeColor="text1"/>
          <w:sz w:val="24"/>
          <w14:textFill>
            <w14:solidFill>
              <w14:schemeClr w14:val="tx1"/>
            </w14:solidFill>
          </w14:textFill>
        </w:rPr>
        <w:t>第三部分</w:t>
      </w:r>
      <w:r>
        <w:rPr>
          <w:rFonts w:asciiTheme="minorEastAsia" w:hAnsiTheme="minorEastAsia" w:eastAsiaTheme="minorEastAsia"/>
          <w:b/>
          <w:color w:val="000000" w:themeColor="text1"/>
          <w:sz w:val="24"/>
          <w14:textFill>
            <w14:solidFill>
              <w14:schemeClr w14:val="tx1"/>
            </w14:solidFill>
          </w14:textFill>
        </w:rPr>
        <w:t xml:space="preserve"> </w:t>
      </w:r>
      <w:r>
        <w:rPr>
          <w:rFonts w:hint="eastAsia" w:asciiTheme="minorEastAsia" w:hAnsiTheme="minorEastAsia" w:eastAsiaTheme="minorEastAsia"/>
          <w:b/>
          <w:color w:val="000000" w:themeColor="text1"/>
          <w:sz w:val="24"/>
          <w14:textFill>
            <w14:solidFill>
              <w14:schemeClr w14:val="tx1"/>
            </w14:solidFill>
          </w14:textFill>
        </w:rPr>
        <w:t>合同专用条款</w:t>
      </w:r>
      <w:bookmarkEnd w:id="214"/>
    </w:p>
    <w:p w14:paraId="401C29DE">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本部分</w:t>
      </w:r>
      <w:r>
        <w:rPr>
          <w:rFonts w:cs="Times New Roman" w:asciiTheme="minorEastAsia" w:hAnsiTheme="minorEastAsia" w:eastAsiaTheme="minorEastAsia"/>
          <w:color w:val="000000" w:themeColor="text1"/>
          <w:sz w:val="24"/>
          <w:szCs w:val="24"/>
          <w14:textFill>
            <w14:solidFill>
              <w14:schemeClr w14:val="tx1"/>
            </w14:solidFill>
          </w14:textFill>
        </w:rPr>
        <w:t>是对</w:t>
      </w:r>
      <w:r>
        <w:rPr>
          <w:rFonts w:hint="eastAsia" w:cs="Times New Roman" w:asciiTheme="minorEastAsia" w:hAnsiTheme="minorEastAsia" w:eastAsiaTheme="minorEastAsia"/>
          <w:color w:val="000000" w:themeColor="text1"/>
          <w:sz w:val="24"/>
          <w:szCs w:val="24"/>
          <w14:textFill>
            <w14:solidFill>
              <w14:schemeClr w14:val="tx1"/>
            </w14:solidFill>
          </w14:textFill>
        </w:rPr>
        <w:t>前两</w:t>
      </w:r>
      <w:r>
        <w:rPr>
          <w:rFonts w:cs="Times New Roman" w:asciiTheme="minorEastAsia" w:hAnsiTheme="minorEastAsia" w:eastAsiaTheme="minorEastAsia"/>
          <w:color w:val="000000" w:themeColor="text1"/>
          <w:sz w:val="24"/>
          <w:szCs w:val="24"/>
          <w14:textFill>
            <w14:solidFill>
              <w14:schemeClr w14:val="tx1"/>
            </w14:solidFill>
          </w14:textFill>
        </w:rPr>
        <w:t>部分的补充和修改</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如果</w:t>
      </w:r>
      <w:r>
        <w:rPr>
          <w:rFonts w:hint="eastAsia" w:cs="Times New Roman" w:asciiTheme="minorEastAsia" w:hAnsiTheme="minorEastAsia" w:eastAsiaTheme="minorEastAsia"/>
          <w:color w:val="000000" w:themeColor="text1"/>
          <w:sz w:val="24"/>
          <w:szCs w:val="24"/>
          <w14:textFill>
            <w14:solidFill>
              <w14:schemeClr w14:val="tx1"/>
            </w14:solidFill>
          </w14:textFill>
        </w:rPr>
        <w:t>前两</w:t>
      </w:r>
      <w:r>
        <w:rPr>
          <w:rFonts w:cs="Times New Roman" w:asciiTheme="minorEastAsia" w:hAnsiTheme="minorEastAsia" w:eastAsiaTheme="minorEastAsia"/>
          <w:color w:val="000000" w:themeColor="text1"/>
          <w:sz w:val="24"/>
          <w:szCs w:val="24"/>
          <w14:textFill>
            <w14:solidFill>
              <w14:schemeClr w14:val="tx1"/>
            </w14:solidFill>
          </w14:textFill>
        </w:rPr>
        <w:t>部分和本部分的约定不一致</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应以本部分的约定为准</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本部分的条款号应与</w:t>
      </w:r>
      <w:r>
        <w:rPr>
          <w:rFonts w:hint="eastAsia" w:cs="Times New Roman" w:asciiTheme="minorEastAsia" w:hAnsiTheme="minorEastAsia" w:eastAsiaTheme="minorEastAsia"/>
          <w:color w:val="000000" w:themeColor="text1"/>
          <w:sz w:val="24"/>
          <w:szCs w:val="24"/>
          <w14:textFill>
            <w14:solidFill>
              <w14:schemeClr w14:val="tx1"/>
            </w14:solidFill>
          </w14:textFill>
        </w:rPr>
        <w:t>前两部分</w:t>
      </w:r>
      <w:r>
        <w:rPr>
          <w:rFonts w:cs="Times New Roman" w:asciiTheme="minorEastAsia" w:hAnsiTheme="minorEastAsia" w:eastAsiaTheme="minorEastAsia"/>
          <w:color w:val="000000" w:themeColor="text1"/>
          <w:sz w:val="24"/>
          <w:szCs w:val="24"/>
          <w14:textFill>
            <w14:solidFill>
              <w14:schemeClr w14:val="tx1"/>
            </w14:solidFill>
          </w14:textFill>
        </w:rPr>
        <w:t>的条款号保持对应</w:t>
      </w:r>
      <w:r>
        <w:rPr>
          <w:rFonts w:hint="eastAsia" w:cs="Times New Roman" w:asciiTheme="minorEastAsia" w:hAnsiTheme="minorEastAsia" w:eastAsiaTheme="minorEastAsia"/>
          <w:color w:val="000000" w:themeColor="text1"/>
          <w:sz w:val="24"/>
          <w:szCs w:val="24"/>
          <w14:textFill>
            <w14:solidFill>
              <w14:schemeClr w14:val="tx1"/>
            </w14:solidFill>
          </w14:textFill>
        </w:rPr>
        <w:t>；与前两部分</w:t>
      </w:r>
      <w:r>
        <w:rPr>
          <w:rFonts w:cs="Times New Roman" w:asciiTheme="minorEastAsia" w:hAnsiTheme="minorEastAsia" w:eastAsiaTheme="minorEastAsia"/>
          <w:color w:val="000000" w:themeColor="text1"/>
          <w:sz w:val="24"/>
          <w:szCs w:val="24"/>
          <w14:textFill>
            <w14:solidFill>
              <w14:schemeClr w14:val="tx1"/>
            </w14:solidFill>
          </w14:textFill>
        </w:rPr>
        <w:t>无对应关系的内容可另行编制条款号</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tbl>
      <w:tblPr>
        <w:tblStyle w:val="27"/>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56CD1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13B9ADDA">
            <w:pPr>
              <w:jc w:val="center"/>
              <w:rPr>
                <w:rFonts w:cs="Times New Roman" w:asciiTheme="minorEastAsia" w:hAnsiTheme="minorEastAsia" w:eastAsiaTheme="minorEastAsia"/>
                <w:b/>
                <w:color w:val="000000" w:themeColor="text1"/>
                <w:sz w:val="24"/>
                <w:szCs w:val="24"/>
                <w14:textFill>
                  <w14:solidFill>
                    <w14:schemeClr w14:val="tx1"/>
                  </w14:solidFill>
                </w14:textFill>
              </w:rPr>
            </w:pPr>
            <w:r>
              <w:rPr>
                <w:rFonts w:cs="Times New Roman" w:asciiTheme="minorEastAsia" w:hAnsiTheme="minorEastAsia" w:eastAsiaTheme="minorEastAsia"/>
                <w:b/>
                <w:color w:val="000000" w:themeColor="text1"/>
                <w:sz w:val="24"/>
                <w:szCs w:val="24"/>
                <w14:textFill>
                  <w14:solidFill>
                    <w14:schemeClr w14:val="tx1"/>
                  </w14:solidFill>
                </w14:textFill>
              </w:rPr>
              <w:t>条款号</w:t>
            </w:r>
          </w:p>
        </w:tc>
        <w:tc>
          <w:tcPr>
            <w:tcW w:w="7568" w:type="dxa"/>
            <w:vAlign w:val="center"/>
          </w:tcPr>
          <w:p w14:paraId="6688948C">
            <w:pPr>
              <w:jc w:val="center"/>
              <w:rPr>
                <w:rFonts w:cs="Times New Roman" w:asciiTheme="minorEastAsia" w:hAnsiTheme="minorEastAsia" w:eastAsiaTheme="minorEastAsia"/>
                <w:b/>
                <w:color w:val="000000" w:themeColor="text1"/>
                <w:sz w:val="24"/>
                <w:szCs w:val="24"/>
                <w:highlight w:val="yellow"/>
                <w14:textFill>
                  <w14:solidFill>
                    <w14:schemeClr w14:val="tx1"/>
                  </w14:solidFill>
                </w14:textFill>
              </w:rPr>
            </w:pPr>
            <w:r>
              <w:rPr>
                <w:rFonts w:cs="Times New Roman" w:asciiTheme="minorEastAsia" w:hAnsiTheme="minorEastAsia" w:eastAsiaTheme="minorEastAsia"/>
                <w:b/>
                <w:color w:val="000000" w:themeColor="text1"/>
                <w:sz w:val="24"/>
                <w:szCs w:val="24"/>
                <w:highlight w:val="none"/>
                <w14:textFill>
                  <w14:solidFill>
                    <w14:schemeClr w14:val="tx1"/>
                  </w14:solidFill>
                </w14:textFill>
              </w:rPr>
              <w:t>约定内容</w:t>
            </w:r>
          </w:p>
        </w:tc>
      </w:tr>
      <w:tr w14:paraId="4514C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35000032">
            <w:pPr>
              <w:spacing w:line="560" w:lineRule="exact"/>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2.5</w:t>
            </w:r>
          </w:p>
        </w:tc>
        <w:tc>
          <w:tcPr>
            <w:tcW w:w="7568" w:type="dxa"/>
            <w:vAlign w:val="center"/>
          </w:tcPr>
          <w:p w14:paraId="48E2C70D">
            <w:pPr>
              <w:pStyle w:val="2"/>
              <w:ind w:left="0" w:leftChars="0" w:firstLine="0" w:firstLineChars="0"/>
              <w:rPr>
                <w:highlight w:val="none"/>
              </w:rPr>
            </w:pPr>
            <w: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合同签订生效并具备实施条件后5个工作日内支付合同价款的40% 预付款，提交最终结果资料、项目全部完成并通过验收后支付至结算价款的100%。所有相关费用包含在项目款项中，不再另行支付。（维保期约4个月）</w:t>
            </w:r>
          </w:p>
        </w:tc>
      </w:tr>
      <w:tr w14:paraId="33078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075666E">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2.11.3</w:t>
            </w:r>
          </w:p>
        </w:tc>
        <w:tc>
          <w:tcPr>
            <w:tcW w:w="7568" w:type="dxa"/>
            <w:vAlign w:val="center"/>
          </w:tcPr>
          <w:p w14:paraId="6497A0EA">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因不可抗力致使合同有变更必要的，双方当事人应在不可抗力发生的3个工作日内以书面形式变更合同</w:t>
            </w:r>
          </w:p>
        </w:tc>
      </w:tr>
      <w:tr w14:paraId="43DB5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3E447E7">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2.11.4</w:t>
            </w:r>
          </w:p>
        </w:tc>
        <w:tc>
          <w:tcPr>
            <w:tcW w:w="7568" w:type="dxa"/>
            <w:vAlign w:val="center"/>
          </w:tcPr>
          <w:p w14:paraId="77B4EB47">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受不可抗力影响的一方在不可抗力发生后，应在不可抗力发生的1个工作日内以书面形式通知对方当事人，并在1个工作日内，将有关部门出具的证明文件送达对方当事人</w:t>
            </w:r>
          </w:p>
        </w:tc>
      </w:tr>
      <w:tr w14:paraId="6B775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41C14126">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2.15</w:t>
            </w:r>
          </w:p>
        </w:tc>
        <w:tc>
          <w:tcPr>
            <w:tcW w:w="7568" w:type="dxa"/>
            <w:vAlign w:val="center"/>
          </w:tcPr>
          <w:p w14:paraId="515DAA17">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2.15.1乙方提交服务报告，甲方按照在收到报告后，验收予以支付服务费用；</w:t>
            </w:r>
          </w:p>
          <w:p w14:paraId="7C6E230E">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2.15.3检验和验收标准、程序等具体内容以及前述验收书的效力：验收书的内容以检验和验收标准、程序结合项目具体内容出具，以验收书作为结算依据。</w:t>
            </w:r>
          </w:p>
        </w:tc>
      </w:tr>
      <w:tr w14:paraId="62879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368CEC0">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2.18</w:t>
            </w:r>
          </w:p>
        </w:tc>
        <w:tc>
          <w:tcPr>
            <w:tcW w:w="7568" w:type="dxa"/>
            <w:vAlign w:val="center"/>
          </w:tcPr>
          <w:p w14:paraId="0F29CEFC">
            <w:pPr>
              <w:spacing w:line="560" w:lineRule="exact"/>
              <w:rPr>
                <w:rFonts w:cs="Times New Roman" w:asciiTheme="minorEastAsia" w:hAnsiTheme="minorEastAsia" w:eastAsiaTheme="minorEastAsia"/>
                <w:color w:val="000000" w:themeColor="text1"/>
                <w:sz w:val="24"/>
                <w:szCs w:val="24"/>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合同</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一式四份，甲乙双方各执二份。</w:t>
            </w:r>
          </w:p>
        </w:tc>
      </w:tr>
      <w:tr w14:paraId="07BA5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6C9A6D4">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74CDDBC8">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（签订合同时可补充）</w:t>
            </w:r>
          </w:p>
        </w:tc>
      </w:tr>
      <w:tr w14:paraId="33282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78FB8A6E">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54CA355D">
            <w:pPr>
              <w:spacing w:line="560" w:lineRule="exact"/>
              <w:rPr>
                <w:rFonts w:cs="Times New Roman" w:asciiTheme="minorEastAsia" w:hAnsiTheme="minorEastAsia" w:eastAsiaTheme="minorEastAsia"/>
                <w:color w:val="000000" w:themeColor="text1"/>
                <w:sz w:val="24"/>
                <w:szCs w:val="24"/>
                <w:u w:val="single"/>
                <w14:textFill>
                  <w14:solidFill>
                    <w14:schemeClr w14:val="tx1"/>
                  </w14:solidFill>
                </w14:textFill>
              </w:rPr>
            </w:pPr>
          </w:p>
        </w:tc>
      </w:tr>
      <w:tr w14:paraId="1AA03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1AB2CF5">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40C8AC7B">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5CA2A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69A39B85">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60B05B83">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2F731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4F26E2BB">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2C4C3803">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bl>
    <w:p w14:paraId="77A17262">
      <w:pPr>
        <w:rPr>
          <w:rFonts w:asciiTheme="minorEastAsia" w:hAnsiTheme="minorEastAsia" w:eastAsiaTheme="minorEastAsia"/>
          <w:b/>
          <w:sz w:val="28"/>
        </w:rPr>
      </w:pPr>
      <w:r>
        <w:rPr>
          <w:rFonts w:hint="eastAsia" w:asciiTheme="minorEastAsia" w:hAnsiTheme="minorEastAsia" w:eastAsiaTheme="minorEastAsia"/>
          <w:b/>
          <w:sz w:val="28"/>
        </w:rPr>
        <w:br w:type="page"/>
      </w:r>
    </w:p>
    <w:p w14:paraId="0BCF1AAE">
      <w:pPr>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第六章  响应文件格式</w:t>
      </w:r>
      <w:bookmarkEnd w:id="71"/>
      <w:bookmarkEnd w:id="72"/>
    </w:p>
    <w:p w14:paraId="35B83286">
      <w:pPr>
        <w:spacing w:line="900" w:lineRule="exact"/>
        <w:jc w:val="center"/>
        <w:rPr>
          <w:rFonts w:asciiTheme="minorEastAsia" w:hAnsiTheme="minorEastAsia" w:eastAsiaTheme="minorEastAsia"/>
          <w:b/>
          <w:sz w:val="72"/>
        </w:rPr>
      </w:pPr>
    </w:p>
    <w:p w14:paraId="6DEEAE01">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响</w:t>
      </w:r>
    </w:p>
    <w:p w14:paraId="2A91F7ED">
      <w:pPr>
        <w:spacing w:line="900" w:lineRule="exact"/>
        <w:jc w:val="center"/>
        <w:rPr>
          <w:rFonts w:asciiTheme="minorEastAsia" w:hAnsiTheme="minorEastAsia" w:eastAsiaTheme="minorEastAsia"/>
          <w:b/>
          <w:sz w:val="72"/>
        </w:rPr>
      </w:pPr>
    </w:p>
    <w:p w14:paraId="7349ECA8">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应</w:t>
      </w:r>
    </w:p>
    <w:p w14:paraId="2AD89FBD">
      <w:pPr>
        <w:spacing w:line="900" w:lineRule="exact"/>
        <w:jc w:val="center"/>
        <w:rPr>
          <w:rFonts w:asciiTheme="minorEastAsia" w:hAnsiTheme="minorEastAsia" w:eastAsiaTheme="minorEastAsia"/>
          <w:b/>
          <w:sz w:val="72"/>
        </w:rPr>
      </w:pPr>
    </w:p>
    <w:p w14:paraId="214F3576">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文</w:t>
      </w:r>
    </w:p>
    <w:p w14:paraId="2F2DCB5B">
      <w:pPr>
        <w:spacing w:line="900" w:lineRule="exact"/>
        <w:jc w:val="center"/>
        <w:rPr>
          <w:rFonts w:asciiTheme="minorEastAsia" w:hAnsiTheme="minorEastAsia" w:eastAsiaTheme="minorEastAsia"/>
          <w:b/>
          <w:sz w:val="72"/>
        </w:rPr>
      </w:pPr>
    </w:p>
    <w:p w14:paraId="45CC8122">
      <w:pPr>
        <w:jc w:val="center"/>
        <w:outlineLvl w:val="2"/>
        <w:rPr>
          <w:rFonts w:asciiTheme="minorEastAsia" w:hAnsiTheme="minorEastAsia" w:eastAsiaTheme="minorEastAsia"/>
          <w:b/>
          <w:sz w:val="72"/>
        </w:rPr>
      </w:pPr>
      <w:r>
        <w:rPr>
          <w:rFonts w:hint="eastAsia" w:asciiTheme="minorEastAsia" w:hAnsiTheme="minorEastAsia" w:eastAsiaTheme="minorEastAsia"/>
          <w:b/>
          <w:sz w:val="72"/>
        </w:rPr>
        <w:t>件</w:t>
      </w:r>
    </w:p>
    <w:p w14:paraId="0F57944A">
      <w:pPr>
        <w:spacing w:after="156" w:afterLines="50"/>
        <w:jc w:val="center"/>
        <w:rPr>
          <w:rFonts w:asciiTheme="minorEastAsia" w:hAnsiTheme="minorEastAsia" w:eastAsiaTheme="minorEastAsia"/>
          <w:b/>
          <w:sz w:val="72"/>
        </w:rPr>
      </w:pPr>
    </w:p>
    <w:p w14:paraId="1AEC5483">
      <w:pPr>
        <w:spacing w:after="156" w:afterLines="50" w:line="500" w:lineRule="exact"/>
        <w:rPr>
          <w:rFonts w:asciiTheme="minorEastAsia" w:hAnsiTheme="minorEastAsia" w:eastAsiaTheme="minorEastAsia"/>
          <w:b/>
          <w:sz w:val="72"/>
        </w:rPr>
      </w:pPr>
    </w:p>
    <w:p w14:paraId="5B6E6614">
      <w:pPr>
        <w:spacing w:after="156" w:afterLines="50" w:line="500" w:lineRule="exact"/>
        <w:jc w:val="center"/>
        <w:rPr>
          <w:rFonts w:asciiTheme="minorEastAsia" w:hAnsiTheme="minorEastAsia" w:eastAsiaTheme="minorEastAsia"/>
          <w:b/>
          <w:sz w:val="28"/>
          <w:szCs w:val="28"/>
        </w:rPr>
      </w:pPr>
    </w:p>
    <w:p w14:paraId="12967799">
      <w:pPr>
        <w:tabs>
          <w:tab w:val="left" w:pos="2410"/>
        </w:tabs>
        <w:autoSpaceDE w:val="0"/>
        <w:autoSpaceDN w:val="0"/>
        <w:adjustRightInd w:val="0"/>
        <w:snapToGrid w:val="0"/>
        <w:spacing w:line="360" w:lineRule="auto"/>
        <w:ind w:firstLine="643" w:firstLineChars="200"/>
        <w:rPr>
          <w:rFonts w:ascii="宋体" w:hAnsi="宋体" w:eastAsia="宋体"/>
          <w:b/>
          <w:spacing w:val="20"/>
          <w:kern w:val="0"/>
          <w:sz w:val="32"/>
          <w:szCs w:val="32"/>
        </w:rPr>
      </w:pPr>
      <w:r>
        <w:rPr>
          <w:rFonts w:hint="eastAsia" w:asciiTheme="minorEastAsia" w:hAnsiTheme="minorEastAsia" w:eastAsiaTheme="minorEastAsia"/>
          <w:b/>
          <w:sz w:val="32"/>
        </w:rPr>
        <w:t>项目名称：</w:t>
      </w:r>
      <w:r>
        <w:rPr>
          <w:rFonts w:hint="eastAsia" w:asciiTheme="minorEastAsia" w:hAnsiTheme="minorEastAsia" w:eastAsiaTheme="minorEastAsia"/>
          <w:b/>
          <w:sz w:val="32"/>
          <w:u w:val="single"/>
        </w:rPr>
        <w:t xml:space="preserve">                  </w:t>
      </w:r>
    </w:p>
    <w:p w14:paraId="46DDED1D">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sz w:val="32"/>
          <w:u w:val="single"/>
        </w:rPr>
      </w:pPr>
      <w:r>
        <w:rPr>
          <w:rFonts w:hint="eastAsia" w:asciiTheme="minorEastAsia" w:hAnsiTheme="minorEastAsia" w:eastAsiaTheme="minorEastAsia"/>
          <w:b/>
          <w:sz w:val="32"/>
        </w:rPr>
        <w:t>供 应 商：</w:t>
      </w:r>
      <w:r>
        <w:rPr>
          <w:rFonts w:hint="eastAsia" w:asciiTheme="minorEastAsia" w:hAnsiTheme="minorEastAsia" w:eastAsiaTheme="minorEastAsia"/>
          <w:b/>
          <w:sz w:val="32"/>
          <w:u w:val="single"/>
        </w:rPr>
        <w:t xml:space="preserve">                  </w:t>
      </w:r>
    </w:p>
    <w:p w14:paraId="7C72BDE3">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bookmarkStart w:id="215" w:name="_Toc8037"/>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bookmarkEnd w:id="215"/>
    </w:p>
    <w:p w14:paraId="0FF966B0">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5B13B09F">
      <w:pPr>
        <w:jc w:val="left"/>
        <w:rPr>
          <w:rFonts w:ascii="宋体" w:hAnsi="宋体" w:eastAsia="宋体" w:cs="宋体"/>
          <w:b/>
          <w:sz w:val="32"/>
          <w:szCs w:val="32"/>
        </w:rPr>
      </w:pPr>
      <w:bookmarkStart w:id="216" w:name="_Toc461053086"/>
      <w:bookmarkStart w:id="217" w:name="_Toc461056631"/>
      <w:bookmarkStart w:id="218" w:name="_Toc520983587"/>
      <w:bookmarkStart w:id="219" w:name="_Toc26791"/>
      <w:bookmarkStart w:id="220" w:name="_Toc5881"/>
      <w:r>
        <w:rPr>
          <w:rFonts w:hint="eastAsia" w:ascii="宋体" w:hAnsi="宋体" w:eastAsia="宋体" w:cs="宋体"/>
          <w:b/>
          <w:sz w:val="32"/>
          <w:szCs w:val="32"/>
        </w:rPr>
        <w:t>一、资信证明格式文件</w:t>
      </w:r>
    </w:p>
    <w:p w14:paraId="3DD60F69">
      <w:pPr>
        <w:jc w:val="center"/>
        <w:rPr>
          <w:rFonts w:ascii="宋体" w:hAnsi="宋体" w:eastAsia="宋体" w:cs="宋体"/>
          <w:b/>
          <w:sz w:val="24"/>
          <w:szCs w:val="24"/>
        </w:rPr>
      </w:pPr>
    </w:p>
    <w:p w14:paraId="34D48911">
      <w:pPr>
        <w:jc w:val="center"/>
        <w:rPr>
          <w:rFonts w:ascii="宋体" w:hAnsi="宋体" w:eastAsia="宋体" w:cs="宋体"/>
          <w:b/>
          <w:sz w:val="24"/>
          <w:szCs w:val="24"/>
        </w:rPr>
      </w:pPr>
    </w:p>
    <w:p w14:paraId="1B35A7B5">
      <w:pPr>
        <w:rPr>
          <w:rFonts w:ascii="宋体" w:hAnsi="宋体" w:eastAsia="宋体" w:cs="宋体"/>
          <w:b/>
          <w:sz w:val="24"/>
          <w:szCs w:val="24"/>
        </w:rPr>
      </w:pPr>
    </w:p>
    <w:p w14:paraId="53D9F1E0">
      <w:pPr>
        <w:rPr>
          <w:rFonts w:ascii="宋体" w:hAnsi="宋体" w:eastAsia="宋体" w:cs="宋体"/>
          <w:b/>
          <w:sz w:val="24"/>
          <w:szCs w:val="24"/>
        </w:rPr>
      </w:pPr>
    </w:p>
    <w:p w14:paraId="7D0767F7">
      <w:pPr>
        <w:rPr>
          <w:rFonts w:ascii="宋体" w:hAnsi="宋体" w:eastAsia="宋体" w:cs="宋体"/>
          <w:b/>
          <w:sz w:val="24"/>
          <w:szCs w:val="24"/>
        </w:rPr>
      </w:pPr>
    </w:p>
    <w:p w14:paraId="4F150853">
      <w:pPr>
        <w:jc w:val="center"/>
        <w:outlineLvl w:val="1"/>
        <w:rPr>
          <w:rFonts w:ascii="宋体" w:hAnsi="宋体" w:eastAsia="宋体" w:cs="宋体"/>
          <w:bCs/>
          <w:sz w:val="44"/>
          <w:szCs w:val="44"/>
        </w:rPr>
      </w:pPr>
      <w:bookmarkStart w:id="221" w:name="_Toc3534"/>
      <w:bookmarkStart w:id="222" w:name="_Toc1509"/>
      <w:bookmarkStart w:id="223" w:name="_Toc14005"/>
      <w:bookmarkStart w:id="224" w:name="_Toc32300"/>
      <w:r>
        <w:rPr>
          <w:rFonts w:hint="eastAsia" w:ascii="宋体" w:hAnsi="宋体" w:eastAsia="宋体" w:cs="宋体"/>
          <w:bCs/>
          <w:sz w:val="44"/>
          <w:szCs w:val="44"/>
        </w:rPr>
        <w:t>资信证明</w:t>
      </w:r>
      <w:bookmarkEnd w:id="221"/>
      <w:bookmarkEnd w:id="222"/>
      <w:bookmarkEnd w:id="223"/>
      <w:bookmarkEnd w:id="224"/>
      <w:r>
        <w:rPr>
          <w:rFonts w:hint="eastAsia" w:ascii="宋体" w:hAnsi="宋体" w:eastAsia="宋体" w:cs="宋体"/>
          <w:bCs/>
          <w:sz w:val="44"/>
          <w:szCs w:val="44"/>
        </w:rPr>
        <w:t>文件</w:t>
      </w:r>
    </w:p>
    <w:p w14:paraId="026B8C94">
      <w:pPr>
        <w:jc w:val="center"/>
        <w:rPr>
          <w:rFonts w:ascii="宋体" w:hAnsi="宋体" w:eastAsia="宋体" w:cs="宋体"/>
          <w:bCs/>
          <w:sz w:val="28"/>
          <w:szCs w:val="28"/>
        </w:rPr>
      </w:pPr>
      <w:bookmarkStart w:id="225" w:name="_Toc29089"/>
      <w:bookmarkStart w:id="226" w:name="_Toc1854"/>
      <w:r>
        <w:rPr>
          <w:rFonts w:hint="eastAsia" w:ascii="宋体" w:hAnsi="宋体" w:eastAsia="宋体" w:cs="宋体"/>
          <w:bCs/>
          <w:sz w:val="28"/>
          <w:szCs w:val="28"/>
        </w:rPr>
        <w:t>（响应文件一）</w:t>
      </w:r>
      <w:bookmarkEnd w:id="225"/>
      <w:bookmarkEnd w:id="226"/>
    </w:p>
    <w:p w14:paraId="3AC75609">
      <w:pPr>
        <w:jc w:val="center"/>
        <w:rPr>
          <w:rFonts w:ascii="宋体" w:hAnsi="宋体" w:eastAsia="宋体" w:cs="宋体"/>
          <w:bCs/>
          <w:sz w:val="28"/>
          <w:szCs w:val="28"/>
        </w:rPr>
      </w:pPr>
    </w:p>
    <w:p w14:paraId="771FBAB6">
      <w:pPr>
        <w:jc w:val="center"/>
        <w:rPr>
          <w:rFonts w:ascii="宋体" w:hAnsi="宋体" w:eastAsia="宋体" w:cs="宋体"/>
          <w:sz w:val="32"/>
          <w:szCs w:val="32"/>
        </w:rPr>
      </w:pPr>
      <w:r>
        <w:rPr>
          <w:rFonts w:hint="eastAsia" w:ascii="宋体" w:hAnsi="宋体" w:eastAsia="宋体" w:cs="宋体"/>
          <w:sz w:val="32"/>
          <w:szCs w:val="32"/>
          <w:u w:val="single"/>
        </w:rPr>
        <w:t xml:space="preserve">        </w:t>
      </w:r>
      <w:r>
        <w:rPr>
          <w:rFonts w:hint="eastAsia" w:ascii="宋体" w:hAnsi="宋体" w:eastAsia="宋体" w:cs="宋体"/>
          <w:sz w:val="32"/>
          <w:szCs w:val="32"/>
        </w:rPr>
        <w:t>项目</w:t>
      </w:r>
    </w:p>
    <w:p w14:paraId="3986C854">
      <w:pPr>
        <w:jc w:val="center"/>
        <w:rPr>
          <w:rFonts w:ascii="宋体" w:hAnsi="宋体" w:eastAsia="宋体" w:cs="宋体"/>
          <w:sz w:val="44"/>
          <w:szCs w:val="44"/>
        </w:rPr>
      </w:pPr>
      <w:r>
        <w:rPr>
          <w:rFonts w:hint="eastAsia" w:ascii="宋体" w:hAnsi="宋体" w:eastAsia="宋体" w:cs="宋体"/>
          <w:sz w:val="28"/>
          <w:szCs w:val="28"/>
          <w:u w:val="single"/>
        </w:rPr>
        <w:t xml:space="preserve"> </w:t>
      </w:r>
    </w:p>
    <w:p w14:paraId="04E0DDA8">
      <w:pPr>
        <w:rPr>
          <w:rFonts w:ascii="宋体" w:hAnsi="宋体" w:eastAsia="宋体" w:cs="宋体"/>
          <w:bCs/>
          <w:sz w:val="24"/>
          <w:szCs w:val="24"/>
        </w:rPr>
      </w:pPr>
    </w:p>
    <w:p w14:paraId="65D35E1F">
      <w:pPr>
        <w:rPr>
          <w:rFonts w:ascii="宋体" w:hAnsi="宋体" w:eastAsia="宋体" w:cs="宋体"/>
          <w:bCs/>
          <w:sz w:val="24"/>
          <w:szCs w:val="24"/>
        </w:rPr>
      </w:pPr>
    </w:p>
    <w:p w14:paraId="7CF50382">
      <w:pPr>
        <w:rPr>
          <w:rFonts w:ascii="宋体" w:hAnsi="宋体" w:eastAsia="宋体" w:cs="宋体"/>
          <w:bCs/>
          <w:sz w:val="24"/>
          <w:szCs w:val="24"/>
        </w:rPr>
      </w:pPr>
    </w:p>
    <w:p w14:paraId="297AD82D">
      <w:pPr>
        <w:rPr>
          <w:rFonts w:ascii="宋体" w:hAnsi="宋体" w:eastAsia="宋体" w:cs="宋体"/>
          <w:bCs/>
          <w:sz w:val="24"/>
          <w:szCs w:val="24"/>
        </w:rPr>
      </w:pPr>
    </w:p>
    <w:p w14:paraId="3622EC0A">
      <w:pPr>
        <w:rPr>
          <w:rFonts w:ascii="宋体" w:hAnsi="宋体" w:eastAsia="宋体" w:cs="宋体"/>
          <w:bCs/>
          <w:sz w:val="24"/>
          <w:szCs w:val="24"/>
        </w:rPr>
      </w:pPr>
    </w:p>
    <w:p w14:paraId="673A5078">
      <w:pPr>
        <w:rPr>
          <w:rFonts w:ascii="宋体" w:hAnsi="宋体" w:eastAsia="宋体" w:cs="宋体"/>
          <w:bCs/>
          <w:sz w:val="24"/>
          <w:szCs w:val="24"/>
        </w:rPr>
      </w:pPr>
    </w:p>
    <w:p w14:paraId="752A84EB">
      <w:pPr>
        <w:rPr>
          <w:rFonts w:ascii="宋体" w:hAnsi="宋体" w:eastAsia="宋体" w:cs="宋体"/>
          <w:bCs/>
          <w:sz w:val="24"/>
          <w:szCs w:val="24"/>
        </w:rPr>
      </w:pPr>
    </w:p>
    <w:p w14:paraId="02F3021F">
      <w:pPr>
        <w:rPr>
          <w:rFonts w:ascii="宋体" w:hAnsi="宋体" w:eastAsia="宋体" w:cs="宋体"/>
          <w:bCs/>
          <w:sz w:val="24"/>
          <w:szCs w:val="24"/>
        </w:rPr>
      </w:pPr>
    </w:p>
    <w:p w14:paraId="4282DEC6">
      <w:pPr>
        <w:rPr>
          <w:rFonts w:ascii="宋体" w:hAnsi="宋体" w:eastAsia="宋体" w:cs="宋体"/>
          <w:bCs/>
          <w:sz w:val="24"/>
          <w:szCs w:val="24"/>
        </w:rPr>
      </w:pPr>
    </w:p>
    <w:p w14:paraId="37404BE9">
      <w:pPr>
        <w:rPr>
          <w:rFonts w:ascii="宋体" w:hAnsi="宋体" w:eastAsia="宋体" w:cs="宋体"/>
          <w:bCs/>
          <w:sz w:val="24"/>
          <w:szCs w:val="24"/>
        </w:rPr>
      </w:pPr>
    </w:p>
    <w:p w14:paraId="6B6199E8">
      <w:pPr>
        <w:rPr>
          <w:rFonts w:ascii="宋体" w:hAnsi="宋体" w:eastAsia="宋体" w:cs="宋体"/>
          <w:bCs/>
          <w:sz w:val="24"/>
          <w:szCs w:val="24"/>
        </w:rPr>
      </w:pPr>
    </w:p>
    <w:p w14:paraId="76754E11">
      <w:pPr>
        <w:spacing w:line="360" w:lineRule="auto"/>
        <w:rPr>
          <w:rFonts w:ascii="宋体" w:hAnsi="宋体" w:eastAsia="宋体" w:cs="宋体"/>
          <w:bCs/>
          <w:sz w:val="28"/>
          <w:szCs w:val="28"/>
        </w:rPr>
      </w:pPr>
    </w:p>
    <w:p w14:paraId="5AB3E52E">
      <w:pPr>
        <w:pStyle w:val="2"/>
        <w:ind w:firstLine="560"/>
        <w:rPr>
          <w:rFonts w:ascii="宋体" w:hAnsi="宋体" w:eastAsia="宋体" w:cs="宋体"/>
          <w:bCs/>
          <w:sz w:val="28"/>
          <w:szCs w:val="28"/>
        </w:rPr>
      </w:pPr>
    </w:p>
    <w:p w14:paraId="12EAF533">
      <w:pPr>
        <w:rPr>
          <w:rFonts w:ascii="宋体" w:hAnsi="宋体" w:eastAsia="宋体" w:cs="宋体"/>
        </w:rPr>
      </w:pPr>
    </w:p>
    <w:p w14:paraId="05B6A1D2">
      <w:pPr>
        <w:spacing w:line="360" w:lineRule="auto"/>
        <w:jc w:val="center"/>
        <w:rPr>
          <w:rFonts w:ascii="宋体" w:hAnsi="宋体" w:eastAsia="宋体" w:cs="宋体"/>
          <w:bCs/>
          <w:sz w:val="28"/>
          <w:szCs w:val="28"/>
          <w:u w:val="single"/>
        </w:rPr>
      </w:pPr>
      <w:bookmarkStart w:id="227" w:name="_Toc19766"/>
      <w:bookmarkStart w:id="228" w:name="_Toc27793"/>
      <w:r>
        <w:rPr>
          <w:rFonts w:hint="eastAsia" w:ascii="宋体" w:hAnsi="宋体" w:eastAsia="宋体" w:cs="宋体"/>
          <w:bCs/>
          <w:sz w:val="28"/>
          <w:szCs w:val="28"/>
        </w:rPr>
        <w:t>供应商：</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w:t>
      </w:r>
      <w:r>
        <w:rPr>
          <w:rFonts w:hint="eastAsia" w:ascii="宋体" w:hAnsi="宋体" w:eastAsia="宋体" w:cs="宋体"/>
          <w:bCs/>
          <w:sz w:val="28"/>
          <w:szCs w:val="28"/>
          <w:lang w:eastAsia="zh-CN"/>
        </w:rPr>
        <w:t>盖单位公</w:t>
      </w:r>
      <w:r>
        <w:rPr>
          <w:rFonts w:hint="eastAsia" w:ascii="宋体" w:hAnsi="宋体" w:eastAsia="宋体" w:cs="宋体"/>
          <w:bCs/>
          <w:sz w:val="28"/>
          <w:szCs w:val="28"/>
        </w:rPr>
        <w:t>章）</w:t>
      </w:r>
      <w:bookmarkEnd w:id="227"/>
      <w:bookmarkEnd w:id="228"/>
    </w:p>
    <w:p w14:paraId="112B45D0">
      <w:pPr>
        <w:spacing w:line="360" w:lineRule="auto"/>
        <w:jc w:val="center"/>
        <w:rPr>
          <w:rFonts w:ascii="宋体" w:hAnsi="宋体" w:eastAsia="宋体" w:cs="宋体"/>
          <w:bCs/>
          <w:sz w:val="28"/>
          <w:szCs w:val="28"/>
        </w:rPr>
      </w:pPr>
      <w:bookmarkStart w:id="229" w:name="_Toc17049"/>
      <w:bookmarkStart w:id="230" w:name="_Toc9255"/>
      <w:r>
        <w:rPr>
          <w:rFonts w:hint="eastAsia" w:ascii="宋体" w:hAnsi="宋体" w:eastAsia="宋体" w:cs="宋体"/>
          <w:bCs/>
          <w:sz w:val="28"/>
          <w:szCs w:val="28"/>
        </w:rPr>
        <w:t>法定代表人：</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（签</w:t>
      </w:r>
      <w:r>
        <w:rPr>
          <w:rFonts w:hint="eastAsia" w:ascii="宋体" w:hAnsi="宋体" w:eastAsia="宋体" w:cs="宋体"/>
          <w:bCs/>
          <w:sz w:val="28"/>
          <w:szCs w:val="28"/>
          <w:lang w:eastAsia="zh-CN"/>
        </w:rPr>
        <w:t>字或盖</w:t>
      </w:r>
      <w:r>
        <w:rPr>
          <w:rFonts w:hint="eastAsia" w:ascii="宋体" w:hAnsi="宋体" w:eastAsia="宋体" w:cs="宋体"/>
          <w:bCs/>
          <w:sz w:val="28"/>
          <w:szCs w:val="28"/>
        </w:rPr>
        <w:t>章）</w:t>
      </w:r>
      <w:bookmarkEnd w:id="229"/>
      <w:bookmarkEnd w:id="230"/>
    </w:p>
    <w:p w14:paraId="3631AFF3">
      <w:pPr>
        <w:spacing w:line="360" w:lineRule="auto"/>
        <w:jc w:val="center"/>
        <w:rPr>
          <w:rFonts w:ascii="宋体" w:hAnsi="宋体" w:eastAsia="宋体" w:cs="宋体"/>
          <w:bCs/>
          <w:sz w:val="28"/>
          <w:szCs w:val="28"/>
        </w:rPr>
      </w:pPr>
      <w:r>
        <w:rPr>
          <w:rFonts w:hint="eastAsia" w:ascii="宋体" w:hAnsi="宋体" w:eastAsia="宋体" w:cs="宋体"/>
          <w:bCs/>
          <w:sz w:val="28"/>
          <w:szCs w:val="28"/>
          <w:u w:val="single"/>
        </w:rPr>
        <w:t xml:space="preserve">        </w:t>
      </w:r>
      <w:bookmarkStart w:id="231" w:name="_Toc19368"/>
      <w:bookmarkStart w:id="232" w:name="_Toc15461"/>
      <w:r>
        <w:rPr>
          <w:rFonts w:hint="eastAsia" w:ascii="宋体" w:hAnsi="宋体" w:eastAsia="宋体" w:cs="宋体"/>
          <w:bCs/>
          <w:sz w:val="28"/>
          <w:szCs w:val="28"/>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日</w:t>
      </w:r>
      <w:bookmarkEnd w:id="231"/>
      <w:bookmarkEnd w:id="232"/>
    </w:p>
    <w:p w14:paraId="60AB1CA4">
      <w:pPr>
        <w:spacing w:line="720" w:lineRule="auto"/>
        <w:jc w:val="center"/>
        <w:rPr>
          <w:rFonts w:ascii="宋体" w:hAnsi="宋体" w:cs="宋体"/>
          <w:b/>
          <w:sz w:val="24"/>
          <w:szCs w:val="24"/>
        </w:rPr>
      </w:pPr>
    </w:p>
    <w:p w14:paraId="5EC95B5F">
      <w:pPr>
        <w:pageBreakBefore/>
        <w:spacing w:line="360" w:lineRule="auto"/>
        <w:ind w:firstLine="4216" w:firstLineChars="1400"/>
        <w:rPr>
          <w:rFonts w:ascii="宋体" w:hAnsi="宋体" w:eastAsia="宋体" w:cs="宋体"/>
          <w:b/>
          <w:sz w:val="30"/>
          <w:szCs w:val="30"/>
        </w:rPr>
      </w:pPr>
      <w:bookmarkStart w:id="233" w:name="_Toc2203"/>
      <w:bookmarkStart w:id="234" w:name="_Toc3397"/>
      <w:r>
        <w:rPr>
          <w:rFonts w:hint="eastAsia" w:ascii="宋体" w:hAnsi="宋体" w:eastAsia="宋体" w:cs="宋体"/>
          <w:b/>
          <w:sz w:val="30"/>
          <w:szCs w:val="30"/>
        </w:rPr>
        <w:t>目   录</w:t>
      </w:r>
      <w:bookmarkEnd w:id="233"/>
      <w:bookmarkEnd w:id="234"/>
    </w:p>
    <w:p w14:paraId="4EF4E168">
      <w:pPr>
        <w:spacing w:line="360" w:lineRule="auto"/>
        <w:ind w:firstLine="420" w:firstLineChars="200"/>
        <w:rPr>
          <w:rFonts w:ascii="宋体" w:hAnsi="宋体" w:eastAsia="宋体" w:cs="宋体"/>
          <w:color w:val="000000"/>
          <w:szCs w:val="21"/>
          <w:lang w:bidi="ar"/>
        </w:rPr>
      </w:pPr>
      <w:r>
        <w:rPr>
          <w:rFonts w:hint="eastAsia" w:ascii="宋体" w:hAnsi="宋体" w:eastAsia="宋体" w:cs="宋体"/>
          <w:color w:val="000000"/>
          <w:szCs w:val="21"/>
          <w:lang w:bidi="ar"/>
        </w:rPr>
        <w:t>（1）供应商资格声明书（格式见附件）；</w:t>
      </w:r>
    </w:p>
    <w:p w14:paraId="5EF35E9B">
      <w:pPr>
        <w:spacing w:line="360" w:lineRule="auto"/>
        <w:ind w:firstLine="420" w:firstLineChars="200"/>
        <w:rPr>
          <w:rFonts w:ascii="宋体" w:hAnsi="宋体" w:eastAsia="宋体" w:cs="宋体"/>
          <w:color w:val="000000"/>
          <w:szCs w:val="21"/>
          <w:lang w:bidi="ar"/>
        </w:rPr>
      </w:pPr>
      <w:r>
        <w:rPr>
          <w:rFonts w:hint="eastAsia" w:ascii="宋体" w:hAnsi="宋体" w:eastAsia="宋体" w:cs="宋体"/>
          <w:color w:val="000000"/>
          <w:szCs w:val="21"/>
          <w:lang w:bidi="ar"/>
        </w:rPr>
        <w:t xml:space="preserve">（2）授权书（格式见附件）；   </w:t>
      </w:r>
    </w:p>
    <w:p w14:paraId="52BCCD7E">
      <w:pPr>
        <w:spacing w:line="360" w:lineRule="auto"/>
        <w:ind w:firstLine="420" w:firstLineChars="200"/>
        <w:rPr>
          <w:rFonts w:ascii="宋体" w:hAnsi="宋体" w:eastAsia="宋体" w:cs="宋体"/>
          <w:color w:val="000000"/>
          <w:szCs w:val="21"/>
          <w:lang w:bidi="ar"/>
        </w:rPr>
      </w:pPr>
      <w:r>
        <w:rPr>
          <w:rFonts w:hint="eastAsia" w:ascii="宋体" w:hAnsi="宋体" w:eastAsia="宋体" w:cs="宋体"/>
          <w:color w:val="000000"/>
          <w:szCs w:val="21"/>
          <w:lang w:bidi="ar"/>
        </w:rPr>
        <w:t>（3）供应商为企业（包括合伙企业）的，应提供有效的“营业执照”；</w:t>
      </w:r>
    </w:p>
    <w:p w14:paraId="5FF43C9F">
      <w:pPr>
        <w:spacing w:line="360" w:lineRule="auto"/>
        <w:ind w:firstLine="420" w:firstLineChars="200"/>
        <w:rPr>
          <w:rFonts w:ascii="宋体" w:hAnsi="宋体" w:eastAsia="宋体" w:cs="宋体"/>
          <w:color w:val="000000"/>
          <w:szCs w:val="21"/>
          <w:lang w:bidi="ar"/>
        </w:rPr>
      </w:pPr>
      <w:r>
        <w:rPr>
          <w:rFonts w:hint="eastAsia" w:ascii="宋体" w:hAnsi="宋体" w:eastAsia="宋体" w:cs="宋体"/>
          <w:color w:val="000000"/>
          <w:szCs w:val="21"/>
          <w:lang w:bidi="ar"/>
        </w:rPr>
        <w:t>供应商为事业单位的，应提供有效的“事业单位法人证书”；</w:t>
      </w:r>
    </w:p>
    <w:p w14:paraId="4E330077">
      <w:pPr>
        <w:spacing w:line="360" w:lineRule="auto"/>
        <w:ind w:firstLine="420" w:firstLineChars="200"/>
        <w:rPr>
          <w:rFonts w:ascii="宋体" w:hAnsi="宋体" w:eastAsia="宋体" w:cs="宋体"/>
          <w:color w:val="000000"/>
          <w:szCs w:val="21"/>
          <w:lang w:bidi="ar"/>
        </w:rPr>
      </w:pPr>
      <w:r>
        <w:rPr>
          <w:rFonts w:hint="eastAsia" w:ascii="宋体" w:hAnsi="宋体" w:eastAsia="宋体" w:cs="宋体"/>
          <w:color w:val="000000"/>
          <w:szCs w:val="21"/>
          <w:lang w:bidi="ar"/>
        </w:rPr>
        <w:t>供应商是非企业机构的，应提供有效的“执业许可证”、“登记证书”等证明文件；</w:t>
      </w:r>
    </w:p>
    <w:p w14:paraId="0F83F3F8">
      <w:pPr>
        <w:spacing w:line="360" w:lineRule="auto"/>
        <w:ind w:firstLine="420" w:firstLineChars="200"/>
        <w:rPr>
          <w:rFonts w:ascii="宋体" w:hAnsi="宋体" w:eastAsia="宋体" w:cs="宋体"/>
          <w:color w:val="000000"/>
          <w:szCs w:val="21"/>
          <w:lang w:bidi="ar"/>
        </w:rPr>
      </w:pPr>
      <w:r>
        <w:rPr>
          <w:rFonts w:hint="eastAsia" w:ascii="宋体" w:hAnsi="宋体" w:eastAsia="宋体" w:cs="宋体"/>
          <w:color w:val="000000"/>
          <w:szCs w:val="21"/>
          <w:lang w:bidi="ar"/>
        </w:rPr>
        <w:t>供应商是个体工商户的，应提供有效的“个体工商户营业执照”；</w:t>
      </w:r>
    </w:p>
    <w:p w14:paraId="494B3FBF">
      <w:pPr>
        <w:spacing w:line="360" w:lineRule="auto"/>
        <w:ind w:firstLine="420" w:firstLineChars="200"/>
        <w:rPr>
          <w:rFonts w:ascii="宋体" w:hAnsi="宋体" w:eastAsia="宋体" w:cs="宋体"/>
          <w:color w:val="000000"/>
          <w:szCs w:val="21"/>
          <w:lang w:bidi="ar"/>
        </w:rPr>
      </w:pPr>
      <w:r>
        <w:rPr>
          <w:rFonts w:hint="eastAsia" w:ascii="宋体" w:hAnsi="宋体" w:eastAsia="宋体" w:cs="宋体"/>
          <w:color w:val="000000"/>
          <w:szCs w:val="21"/>
          <w:lang w:bidi="ar"/>
        </w:rPr>
        <w:t>供应商是自然人的，应提供有效的自然人身份证明；</w:t>
      </w:r>
    </w:p>
    <w:p w14:paraId="3D622B6A">
      <w:pPr>
        <w:spacing w:line="360" w:lineRule="auto"/>
        <w:ind w:firstLine="420" w:firstLineChars="200"/>
        <w:rPr>
          <w:rFonts w:ascii="宋体" w:hAnsi="宋体" w:eastAsia="宋体" w:cs="宋体"/>
          <w:color w:val="000000"/>
          <w:szCs w:val="21"/>
          <w:lang w:bidi="ar"/>
        </w:rPr>
      </w:pPr>
      <w:r>
        <w:rPr>
          <w:rFonts w:hint="eastAsia" w:ascii="宋体" w:hAnsi="宋体" w:eastAsia="宋体" w:cs="宋体"/>
          <w:color w:val="000000"/>
          <w:szCs w:val="21"/>
          <w:lang w:bidi="ar"/>
        </w:rPr>
        <w:t>（4）诚信响应承诺书（格式见附件）；</w:t>
      </w:r>
    </w:p>
    <w:p w14:paraId="65970282">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lang w:bidi="ar"/>
        </w:rPr>
        <w:t>（5）中小企业声明函，残疾人福利性企业（格式见附件）</w:t>
      </w:r>
      <w:r>
        <w:rPr>
          <w:rFonts w:hint="eastAsia" w:ascii="宋体" w:hAnsi="宋体" w:eastAsia="宋体" w:cs="宋体"/>
          <w:b/>
          <w:color w:val="000000"/>
          <w:szCs w:val="21"/>
          <w:lang w:bidi="ar"/>
        </w:rPr>
        <w:t>；</w:t>
      </w:r>
    </w:p>
    <w:p w14:paraId="53917BDC">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（6）省级以上监狱管理局、戒毒管理局（含新疆生产建设兵团）出具的属于监狱企业的证明</w:t>
      </w:r>
      <w:r>
        <w:rPr>
          <w:rFonts w:hint="eastAsia" w:ascii="宋体" w:hAnsi="宋体" w:eastAsia="宋体" w:cs="宋体"/>
          <w:b/>
          <w:color w:val="000000"/>
          <w:szCs w:val="21"/>
        </w:rPr>
        <w:t>（如是）</w:t>
      </w:r>
      <w:r>
        <w:rPr>
          <w:rFonts w:hint="eastAsia" w:ascii="宋体" w:hAnsi="宋体" w:eastAsia="宋体" w:cs="宋体"/>
          <w:color w:val="000000"/>
          <w:szCs w:val="21"/>
        </w:rPr>
        <w:t>；</w:t>
      </w:r>
    </w:p>
    <w:p w14:paraId="5C184161">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（7）磋商文件中要求的资信评审和资信评分的支持资料；</w:t>
      </w:r>
    </w:p>
    <w:p w14:paraId="336445D0">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（8）供应商认为需要提供的其他资信证明材料；</w:t>
      </w:r>
    </w:p>
    <w:p w14:paraId="561FA611">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（9）其他（如有）。</w:t>
      </w:r>
    </w:p>
    <w:p w14:paraId="736D7810">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7E751E4D">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（1）供应商资格声明书</w:t>
      </w:r>
    </w:p>
    <w:p w14:paraId="410F2A6B">
      <w:pPr>
        <w:pStyle w:val="15"/>
        <w:spacing w:line="360" w:lineRule="auto"/>
        <w:rPr>
          <w:rFonts w:asciiTheme="minorEastAsia" w:hAnsiTheme="minorEastAsia" w:cstheme="minorEastAsia"/>
          <w:sz w:val="24"/>
          <w:szCs w:val="24"/>
        </w:rPr>
      </w:pPr>
      <w:r>
        <w:rPr>
          <w:rFonts w:hint="eastAsia" w:ascii="宋体" w:hAnsi="宋体"/>
          <w:sz w:val="24"/>
        </w:rPr>
        <w:t>致：</w:t>
      </w:r>
      <w:r>
        <w:rPr>
          <w:rFonts w:hint="eastAsia" w:cs="宋体" w:asciiTheme="minorEastAsia" w:hAnsiTheme="minorEastAsia" w:eastAsiaTheme="minorEastAsia"/>
          <w:sz w:val="24"/>
          <w:szCs w:val="24"/>
          <w:u w:val="single"/>
        </w:rPr>
        <w:t>滁州市科学技术馆</w:t>
      </w:r>
    </w:p>
    <w:p w14:paraId="0A0D1458">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在参与本次项目磋商中，我单位承诺：</w:t>
      </w:r>
    </w:p>
    <w:p w14:paraId="22703645">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（一）具有良好的商业信誉和健全的财务会计制度；</w:t>
      </w:r>
    </w:p>
    <w:p w14:paraId="412AA584">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（二）具有履行合同所必需的设备和专业技术能力；</w:t>
      </w:r>
    </w:p>
    <w:p w14:paraId="53EA3095">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（三）有依法缴纳税收和社会保障资金的良好记录；</w:t>
      </w:r>
    </w:p>
    <w:p w14:paraId="2536C2C3">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2115081">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（五）我单位不存在为采购项目提供整体设计、规范编制或者项目管理、监理、检测等服务后，再参加该采购项目的其他采购活动的情形（单一来源采购项目除外）；</w:t>
      </w:r>
    </w:p>
    <w:p w14:paraId="54065498">
      <w:pPr>
        <w:widowControl/>
        <w:spacing w:line="360" w:lineRule="auto"/>
        <w:ind w:firstLine="480" w:firstLineChars="200"/>
        <w:jc w:val="left"/>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（六）与我单位存在单位负责人为同一人或者存在直接控股、管理关系的其他法人单位信息如下（如有，不论其是否参加同一合同项下的政府采购活动均须填写）：</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4191"/>
        <w:gridCol w:w="2510"/>
      </w:tblGrid>
      <w:tr w14:paraId="1727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7A9664FA">
            <w:pPr>
              <w:widowControl/>
              <w:spacing w:line="360" w:lineRule="auto"/>
              <w:jc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序号</w:t>
            </w:r>
          </w:p>
        </w:tc>
        <w:tc>
          <w:tcPr>
            <w:tcW w:w="4501" w:type="dxa"/>
          </w:tcPr>
          <w:p w14:paraId="2F94A60B">
            <w:pPr>
              <w:pStyle w:val="12"/>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单位名称</w:t>
            </w:r>
          </w:p>
        </w:tc>
        <w:tc>
          <w:tcPr>
            <w:tcW w:w="2681" w:type="dxa"/>
          </w:tcPr>
          <w:p w14:paraId="309489E2">
            <w:pPr>
              <w:pStyle w:val="12"/>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相互关系</w:t>
            </w:r>
          </w:p>
        </w:tc>
      </w:tr>
      <w:tr w14:paraId="0314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19C96E9A">
            <w:pPr>
              <w:pStyle w:val="12"/>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1</w:t>
            </w:r>
          </w:p>
        </w:tc>
        <w:tc>
          <w:tcPr>
            <w:tcW w:w="4501" w:type="dxa"/>
          </w:tcPr>
          <w:p w14:paraId="204C130A">
            <w:pPr>
              <w:pStyle w:val="12"/>
              <w:jc w:val="center"/>
              <w:rPr>
                <w:rFonts w:asciiTheme="minorEastAsia" w:hAnsiTheme="minorEastAsia" w:eastAsiaTheme="minorEastAsia" w:cstheme="minorEastAsia"/>
                <w:color w:val="000000"/>
                <w:kern w:val="0"/>
                <w:sz w:val="24"/>
                <w:lang w:val="en-US" w:bidi="ar"/>
              </w:rPr>
            </w:pPr>
          </w:p>
        </w:tc>
        <w:tc>
          <w:tcPr>
            <w:tcW w:w="2681" w:type="dxa"/>
          </w:tcPr>
          <w:p w14:paraId="14866227">
            <w:pPr>
              <w:pStyle w:val="12"/>
              <w:jc w:val="center"/>
              <w:rPr>
                <w:rFonts w:asciiTheme="minorEastAsia" w:hAnsiTheme="minorEastAsia" w:eastAsiaTheme="minorEastAsia" w:cstheme="minorEastAsia"/>
                <w:color w:val="000000"/>
                <w:kern w:val="0"/>
                <w:sz w:val="24"/>
                <w:lang w:val="en-US" w:bidi="ar"/>
              </w:rPr>
            </w:pPr>
          </w:p>
        </w:tc>
      </w:tr>
      <w:tr w14:paraId="2D6A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09126CD1">
            <w:pPr>
              <w:pStyle w:val="12"/>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2</w:t>
            </w:r>
          </w:p>
        </w:tc>
        <w:tc>
          <w:tcPr>
            <w:tcW w:w="4501" w:type="dxa"/>
          </w:tcPr>
          <w:p w14:paraId="2E7FE9ED">
            <w:pPr>
              <w:pStyle w:val="12"/>
              <w:jc w:val="center"/>
              <w:rPr>
                <w:rFonts w:asciiTheme="minorEastAsia" w:hAnsiTheme="minorEastAsia" w:eastAsiaTheme="minorEastAsia" w:cstheme="minorEastAsia"/>
                <w:color w:val="000000"/>
                <w:kern w:val="0"/>
                <w:sz w:val="24"/>
                <w:lang w:val="en-US" w:bidi="ar"/>
              </w:rPr>
            </w:pPr>
          </w:p>
        </w:tc>
        <w:tc>
          <w:tcPr>
            <w:tcW w:w="2681" w:type="dxa"/>
          </w:tcPr>
          <w:p w14:paraId="6A655EEC">
            <w:pPr>
              <w:pStyle w:val="12"/>
              <w:jc w:val="center"/>
              <w:rPr>
                <w:rFonts w:asciiTheme="minorEastAsia" w:hAnsiTheme="minorEastAsia" w:eastAsiaTheme="minorEastAsia" w:cstheme="minorEastAsia"/>
                <w:color w:val="000000"/>
                <w:kern w:val="0"/>
                <w:sz w:val="24"/>
                <w:lang w:val="en-US" w:bidi="ar"/>
              </w:rPr>
            </w:pPr>
          </w:p>
        </w:tc>
      </w:tr>
    </w:tbl>
    <w:p w14:paraId="01638F43">
      <w:pPr>
        <w:spacing w:line="360" w:lineRule="auto"/>
        <w:ind w:firstLine="435"/>
        <w:rPr>
          <w:rFonts w:ascii="宋体" w:hAnsi="宋体" w:eastAsia="宋体"/>
          <w:sz w:val="24"/>
        </w:rPr>
      </w:pPr>
      <w:r>
        <w:rPr>
          <w:rFonts w:hint="eastAsia" w:ascii="宋体" w:hAnsi="宋体" w:eastAsia="宋体"/>
          <w:sz w:val="24"/>
        </w:rPr>
        <w:t>本单位对</w:t>
      </w:r>
      <w:r>
        <w:rPr>
          <w:rFonts w:hint="eastAsia" w:asciiTheme="minorEastAsia" w:hAnsiTheme="minorEastAsia" w:eastAsiaTheme="minorEastAsia"/>
          <w:sz w:val="24"/>
        </w:rPr>
        <w:t>上述</w:t>
      </w:r>
      <w:r>
        <w:rPr>
          <w:rFonts w:hint="eastAsia" w:ascii="宋体" w:hAnsi="宋体" w:eastAsia="宋体"/>
          <w:sz w:val="24"/>
        </w:rPr>
        <w:t>声明的真实性负责。如有虚假，将依法承担相应责任。</w:t>
      </w:r>
    </w:p>
    <w:p w14:paraId="539A31F8">
      <w:pPr>
        <w:spacing w:line="360" w:lineRule="auto"/>
        <w:ind w:firstLine="4800" w:firstLineChars="2000"/>
        <w:rPr>
          <w:rFonts w:ascii="宋体" w:hAnsi="宋体" w:eastAsia="宋体"/>
          <w:sz w:val="24"/>
          <w:u w:val="single"/>
        </w:rPr>
      </w:pPr>
      <w:r>
        <w:rPr>
          <w:rFonts w:hint="eastAsia" w:ascii="宋体" w:hAnsi="宋体" w:eastAsia="宋体"/>
          <w:sz w:val="24"/>
        </w:rPr>
        <w:t>供应商盖公章：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68F584F2">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65304980">
      <w:pPr>
        <w:spacing w:line="440" w:lineRule="exact"/>
        <w:ind w:firstLine="4800" w:firstLineChars="2000"/>
        <w:rPr>
          <w:rFonts w:ascii="宋体" w:hAnsi="宋体" w:eastAsia="宋体"/>
          <w:sz w:val="24"/>
          <w:szCs w:val="24"/>
          <w:u w:val="single"/>
        </w:rPr>
      </w:pPr>
    </w:p>
    <w:p w14:paraId="2D2868D8">
      <w:pPr>
        <w:widowControl/>
        <w:jc w:val="left"/>
        <w:rPr>
          <w:rFonts w:ascii="宋体" w:hAnsi="宋体" w:eastAsia="宋体"/>
          <w:sz w:val="24"/>
        </w:rPr>
      </w:pPr>
      <w:r>
        <w:rPr>
          <w:rFonts w:ascii="宋体" w:hAnsi="宋体" w:eastAsia="宋体"/>
          <w:sz w:val="24"/>
        </w:rPr>
        <w:br w:type="page"/>
      </w:r>
    </w:p>
    <w:p w14:paraId="0850C21E">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（2）授权书</w:t>
      </w:r>
    </w:p>
    <w:p w14:paraId="7200303F">
      <w:pPr>
        <w:spacing w:line="360" w:lineRule="auto"/>
        <w:jc w:val="center"/>
        <w:rPr>
          <w:rFonts w:asciiTheme="minorEastAsia" w:hAnsiTheme="minorEastAsia" w:eastAsiaTheme="minorEastAsia"/>
          <w:b/>
          <w:sz w:val="24"/>
        </w:rPr>
      </w:pPr>
    </w:p>
    <w:p w14:paraId="75136712">
      <w:pPr>
        <w:pStyle w:val="14"/>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（供应商名称）授权</w:t>
      </w:r>
      <w:r>
        <w:rPr>
          <w:rFonts w:hint="eastAsia" w:hAnsi="宋体" w:eastAsia="宋体"/>
          <w:sz w:val="24"/>
          <w:szCs w:val="28"/>
          <w:u w:val="single"/>
        </w:rPr>
        <w:t xml:space="preserve">       </w:t>
      </w:r>
      <w:r>
        <w:rPr>
          <w:rFonts w:hint="eastAsia" w:hAnsi="宋体" w:eastAsia="宋体"/>
          <w:sz w:val="24"/>
          <w:szCs w:val="28"/>
        </w:rPr>
        <w:t>（供应商授权代表姓名）代表我方参加本项目</w:t>
      </w:r>
      <w:r>
        <w:rPr>
          <w:rFonts w:hint="eastAsia" w:hAnsi="宋体" w:eastAsia="宋体"/>
          <w:bCs/>
          <w:sz w:val="24"/>
          <w:szCs w:val="28"/>
        </w:rPr>
        <w:t>采购活动</w:t>
      </w:r>
      <w:r>
        <w:rPr>
          <w:rFonts w:hint="eastAsia" w:hAnsi="宋体" w:eastAsia="宋体"/>
          <w:sz w:val="24"/>
          <w:szCs w:val="28"/>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726B0DA2">
      <w:pPr>
        <w:pStyle w:val="14"/>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本授权书自出具之日起生效。</w:t>
      </w:r>
    </w:p>
    <w:p w14:paraId="32338A6E">
      <w:pPr>
        <w:pStyle w:val="14"/>
        <w:snapToGrid w:val="0"/>
        <w:spacing w:line="360" w:lineRule="auto"/>
        <w:ind w:firstLine="480" w:firstLineChars="200"/>
        <w:jc w:val="left"/>
        <w:rPr>
          <w:rFonts w:hAnsi="宋体" w:eastAsia="宋体"/>
          <w:sz w:val="24"/>
        </w:rPr>
      </w:pPr>
      <w:r>
        <w:rPr>
          <w:rFonts w:hint="eastAsia" w:hAnsi="宋体" w:eastAsia="宋体"/>
          <w:sz w:val="24"/>
          <w:szCs w:val="28"/>
        </w:rPr>
        <w:t>授权代表</w:t>
      </w:r>
      <w:r>
        <w:rPr>
          <w:rFonts w:hint="eastAsia" w:hAnsi="宋体" w:eastAsia="宋体"/>
          <w:sz w:val="24"/>
        </w:rPr>
        <w:t>身份证明扫描件：</w:t>
      </w:r>
    </w:p>
    <w:p w14:paraId="6C7303EE">
      <w:pPr>
        <w:pStyle w:val="14"/>
        <w:snapToGrid w:val="0"/>
        <w:spacing w:line="360" w:lineRule="auto"/>
        <w:ind w:firstLine="480" w:firstLineChars="200"/>
        <w:jc w:val="left"/>
        <w:rPr>
          <w:rFonts w:hAnsi="宋体" w:eastAsia="宋体"/>
          <w:sz w:val="24"/>
        </w:rPr>
      </w:pPr>
    </w:p>
    <w:p w14:paraId="2E20C98F">
      <w:pPr>
        <w:pStyle w:val="14"/>
        <w:snapToGrid w:val="0"/>
        <w:spacing w:line="360" w:lineRule="auto"/>
        <w:ind w:firstLine="480" w:firstLineChars="200"/>
        <w:jc w:val="left"/>
        <w:rPr>
          <w:rFonts w:hAnsi="宋体" w:eastAsia="宋体"/>
          <w:sz w:val="24"/>
        </w:rPr>
      </w:pPr>
    </w:p>
    <w:p w14:paraId="7817CA90">
      <w:pPr>
        <w:pStyle w:val="14"/>
        <w:snapToGrid w:val="0"/>
        <w:spacing w:line="360" w:lineRule="auto"/>
        <w:ind w:firstLine="480" w:firstLineChars="200"/>
        <w:jc w:val="left"/>
        <w:rPr>
          <w:rFonts w:hAnsi="宋体" w:eastAsia="宋体"/>
          <w:sz w:val="24"/>
        </w:rPr>
      </w:pPr>
    </w:p>
    <w:p w14:paraId="360FBD4F">
      <w:pPr>
        <w:pStyle w:val="14"/>
        <w:snapToGrid w:val="0"/>
        <w:spacing w:line="360" w:lineRule="auto"/>
        <w:ind w:firstLine="480" w:firstLineChars="200"/>
        <w:jc w:val="left"/>
        <w:rPr>
          <w:rFonts w:hAnsi="宋体" w:eastAsia="宋体"/>
          <w:sz w:val="24"/>
        </w:rPr>
      </w:pPr>
    </w:p>
    <w:p w14:paraId="5BA8A4F7">
      <w:pPr>
        <w:pStyle w:val="14"/>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1AE0216D">
      <w:pPr>
        <w:pStyle w:val="14"/>
        <w:snapToGrid w:val="0"/>
        <w:spacing w:line="360" w:lineRule="auto"/>
        <w:ind w:firstLine="480" w:firstLineChars="200"/>
        <w:jc w:val="left"/>
        <w:rPr>
          <w:rFonts w:hAnsi="宋体" w:eastAsia="宋体"/>
          <w:sz w:val="24"/>
          <w:szCs w:val="28"/>
        </w:rPr>
      </w:pPr>
    </w:p>
    <w:p w14:paraId="4FE414E8">
      <w:pPr>
        <w:spacing w:line="360" w:lineRule="auto"/>
        <w:ind w:firstLine="360" w:firstLineChars="150"/>
        <w:rPr>
          <w:rFonts w:ascii="宋体" w:hAnsi="宋体" w:eastAsia="宋体"/>
          <w:sz w:val="24"/>
          <w:szCs w:val="28"/>
        </w:rPr>
      </w:pPr>
      <w:r>
        <w:rPr>
          <w:rFonts w:hint="eastAsia" w:ascii="宋体" w:hAnsi="宋体" w:eastAsia="宋体"/>
          <w:sz w:val="24"/>
          <w:szCs w:val="28"/>
        </w:rPr>
        <w:t>特此声明。</w:t>
      </w:r>
    </w:p>
    <w:p w14:paraId="6F4D7022">
      <w:pPr>
        <w:spacing w:line="360" w:lineRule="auto"/>
        <w:rPr>
          <w:rFonts w:ascii="宋体" w:hAnsi="宋体" w:eastAsia="宋体"/>
          <w:sz w:val="24"/>
          <w:szCs w:val="28"/>
        </w:rPr>
      </w:pPr>
    </w:p>
    <w:p w14:paraId="386FF67D">
      <w:pPr>
        <w:spacing w:line="360" w:lineRule="auto"/>
        <w:ind w:firstLine="4800" w:firstLineChars="2000"/>
        <w:rPr>
          <w:rFonts w:ascii="宋体" w:hAnsi="宋体" w:eastAsia="宋体"/>
          <w:sz w:val="24"/>
          <w:u w:val="single"/>
        </w:rPr>
      </w:pPr>
      <w:r>
        <w:rPr>
          <w:rFonts w:hint="eastAsia" w:ascii="宋体" w:hAnsi="宋体" w:eastAsia="宋体"/>
          <w:sz w:val="24"/>
        </w:rPr>
        <w:t>供应商盖公章：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22254A85">
      <w:pPr>
        <w:tabs>
          <w:tab w:val="left" w:pos="630"/>
        </w:tabs>
        <w:spacing w:line="360" w:lineRule="auto"/>
        <w:ind w:firstLine="4800" w:firstLineChars="2000"/>
        <w:rPr>
          <w:rFonts w:ascii="宋体" w:hAnsi="宋体" w:eastAsia="宋体"/>
          <w:sz w:val="24"/>
          <w:szCs w:val="28"/>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6A562161">
      <w:pPr>
        <w:spacing w:line="360" w:lineRule="auto"/>
        <w:rPr>
          <w:rFonts w:ascii="宋体" w:hAnsi="宋体" w:eastAsia="宋体"/>
          <w:sz w:val="24"/>
          <w:szCs w:val="28"/>
        </w:rPr>
      </w:pPr>
    </w:p>
    <w:p w14:paraId="0526978F">
      <w:pPr>
        <w:spacing w:line="360" w:lineRule="auto"/>
        <w:rPr>
          <w:rFonts w:ascii="宋体" w:hAnsi="宋体" w:eastAsia="宋体"/>
          <w:sz w:val="24"/>
          <w:szCs w:val="28"/>
        </w:rPr>
      </w:pPr>
    </w:p>
    <w:p w14:paraId="0D289360">
      <w:pPr>
        <w:pStyle w:val="14"/>
        <w:snapToGrid w:val="0"/>
        <w:spacing w:line="360" w:lineRule="auto"/>
        <w:jc w:val="left"/>
        <w:rPr>
          <w:rFonts w:hAnsi="宋体" w:eastAsia="宋体"/>
          <w:sz w:val="24"/>
          <w:szCs w:val="28"/>
        </w:rPr>
      </w:pPr>
      <w:r>
        <w:rPr>
          <w:rFonts w:hint="eastAsia" w:hAnsi="宋体" w:eastAsia="宋体"/>
          <w:sz w:val="24"/>
          <w:szCs w:val="28"/>
        </w:rPr>
        <w:t>注：</w:t>
      </w:r>
    </w:p>
    <w:p w14:paraId="7F2CE0AC">
      <w:pPr>
        <w:pStyle w:val="14"/>
        <w:snapToGrid w:val="0"/>
        <w:spacing w:line="360" w:lineRule="auto"/>
        <w:jc w:val="left"/>
        <w:rPr>
          <w:rFonts w:hAnsi="宋体" w:eastAsia="宋体"/>
          <w:sz w:val="24"/>
          <w:szCs w:val="28"/>
        </w:rPr>
      </w:pPr>
      <w:r>
        <w:rPr>
          <w:rFonts w:hint="eastAsia" w:hAnsi="宋体" w:eastAsia="宋体"/>
          <w:sz w:val="24"/>
          <w:szCs w:val="28"/>
        </w:rPr>
        <w:t>1.本项目只允许有唯一的供应商授权代表，提供身份证明扫描件；</w:t>
      </w:r>
    </w:p>
    <w:p w14:paraId="4045F833">
      <w:pPr>
        <w:spacing w:line="360" w:lineRule="auto"/>
        <w:jc w:val="left"/>
        <w:rPr>
          <w:rFonts w:ascii="宋体" w:hAnsi="宋体" w:eastAsia="宋体"/>
          <w:sz w:val="24"/>
        </w:rPr>
      </w:pPr>
      <w:r>
        <w:rPr>
          <w:rFonts w:hint="eastAsia" w:ascii="宋体" w:hAnsi="宋体" w:eastAsia="宋体"/>
          <w:sz w:val="24"/>
        </w:rPr>
        <w:t>2.法定代表人参加磋商的无需提供授权书，仅提供身份证明扫描件。</w:t>
      </w:r>
    </w:p>
    <w:p w14:paraId="154CD148">
      <w:pPr>
        <w:widowControl/>
        <w:jc w:val="left"/>
        <w:rPr>
          <w:rFonts w:ascii="宋体" w:hAnsi="宋体" w:eastAsia="宋体" w:cs="宋体"/>
          <w:b/>
          <w:sz w:val="24"/>
          <w:szCs w:val="24"/>
        </w:rPr>
      </w:pPr>
      <w:r>
        <w:rPr>
          <w:rFonts w:ascii="宋体" w:hAnsi="宋体" w:eastAsia="宋体" w:cs="宋体"/>
          <w:b/>
          <w:sz w:val="24"/>
          <w:szCs w:val="24"/>
        </w:rPr>
        <w:br w:type="page"/>
      </w:r>
    </w:p>
    <w:p w14:paraId="2C24997E">
      <w:pPr>
        <w:spacing w:line="360" w:lineRule="auto"/>
        <w:jc w:val="center"/>
        <w:rPr>
          <w:rFonts w:ascii="宋体" w:hAnsi="宋体" w:eastAsia="宋体" w:cs="宋体"/>
          <w:b/>
          <w:sz w:val="24"/>
          <w:szCs w:val="24"/>
        </w:rPr>
      </w:pPr>
      <w:r>
        <w:rPr>
          <w:rFonts w:hint="eastAsia" w:ascii="宋体" w:hAnsi="宋体" w:eastAsia="宋体" w:cs="宋体"/>
          <w:b/>
          <w:sz w:val="24"/>
          <w:szCs w:val="24"/>
        </w:rPr>
        <w:t>（3）诚信响应承诺书</w:t>
      </w:r>
    </w:p>
    <w:p w14:paraId="4B0A95EA">
      <w:pPr>
        <w:spacing w:line="440" w:lineRule="exact"/>
        <w:jc w:val="left"/>
        <w:rPr>
          <w:rFonts w:ascii="宋体" w:hAnsi="宋体" w:eastAsia="宋体" w:cs="宋体"/>
          <w:sz w:val="24"/>
          <w:szCs w:val="24"/>
        </w:rPr>
      </w:pPr>
      <w:r>
        <w:rPr>
          <w:rFonts w:hint="eastAsia" w:ascii="宋体" w:hAnsi="宋体" w:eastAsia="宋体" w:cs="宋体"/>
          <w:sz w:val="24"/>
          <w:szCs w:val="24"/>
        </w:rPr>
        <w:t>本人以企业法定代表人的身份郑重承诺：</w:t>
      </w:r>
    </w:p>
    <w:p w14:paraId="437615A2">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一、将遵循公开、公正和诚实信用的原则自愿参加</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的响应，所提供的一切材料都是真实、有效、合法的；</w:t>
      </w:r>
    </w:p>
    <w:p w14:paraId="10823F69">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53259082">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三、不出借、转让资质证书，不让他人挂靠，不以他人名义或者以其他方式弄虚作假，骗取成交；</w:t>
      </w:r>
    </w:p>
    <w:p w14:paraId="3AA6A2BD">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四、不与其他供应商相互串通响应报价，不排挤其他供应商的公平竞争、损害采购人的合法权益；</w:t>
      </w:r>
    </w:p>
    <w:p w14:paraId="0B03DC49">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五、不与采购人、采购代理机构或其他供应商串通响应，损害国家利益、社会公共利益或者他人的合法权益；</w:t>
      </w:r>
    </w:p>
    <w:p w14:paraId="5E9A53E7">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六、我公司没有下列情形 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w:t>
      </w:r>
    </w:p>
    <w:p w14:paraId="2B17325E">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七、我公司没有下列情形：被滁州市县两级公管部门记入不良行为记录且在披露期内。</w:t>
      </w:r>
    </w:p>
    <w:p w14:paraId="2F6EDFFE">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八、严格遵守磋商现场纪律，服从监管人员管理；</w:t>
      </w:r>
    </w:p>
    <w:p w14:paraId="2381FA89">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九、保证成交后不转包，若有分包征得采购人同意；</w:t>
      </w:r>
    </w:p>
    <w:p w14:paraId="6B397C8B">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十、保证成交之后，按照响应文件要求提供相关后续服务；</w:t>
      </w:r>
    </w:p>
    <w:p w14:paraId="7E270525">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十一、保证企业及所属相关人员在本次响应中无行贿等犯罪行为；</w:t>
      </w:r>
    </w:p>
    <w:p w14:paraId="280341B3">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十二、如在磋商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63379DCF">
      <w:pPr>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以上内容我已仔细阅读，本公司若有违反承诺内容的行为，自愿接受取消响应或者中标（成交）资格、记入不良行为记录等有关处理，愿意承担法律责任，给采购人造成损失的，依法承担赔偿责任。</w:t>
      </w:r>
    </w:p>
    <w:p w14:paraId="5975B4B9">
      <w:pPr>
        <w:spacing w:line="560" w:lineRule="exact"/>
        <w:ind w:firstLine="480" w:firstLineChars="200"/>
        <w:jc w:val="left"/>
        <w:rPr>
          <w:rFonts w:ascii="宋体" w:hAnsi="宋体" w:eastAsia="宋体" w:cs="宋体"/>
          <w:sz w:val="24"/>
          <w:szCs w:val="24"/>
        </w:rPr>
      </w:pPr>
    </w:p>
    <w:p w14:paraId="281E3AFB">
      <w:pPr>
        <w:spacing w:line="520" w:lineRule="exact"/>
        <w:jc w:val="left"/>
        <w:rPr>
          <w:rFonts w:ascii="宋体" w:hAnsi="宋体" w:eastAsia="宋体" w:cs="宋体"/>
          <w:sz w:val="24"/>
          <w:szCs w:val="24"/>
        </w:rPr>
      </w:pPr>
    </w:p>
    <w:p w14:paraId="598AB28A">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开户银行：                   基本账户：</w:t>
      </w:r>
    </w:p>
    <w:p w14:paraId="44B2EF4C">
      <w:pPr>
        <w:spacing w:line="6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lang w:eastAsia="zh-CN"/>
        </w:rPr>
        <w:t>盖</w:t>
      </w:r>
      <w:r>
        <w:rPr>
          <w:rFonts w:hint="eastAsia" w:ascii="宋体" w:hAnsi="宋体" w:eastAsia="宋体" w:cs="宋体"/>
          <w:sz w:val="24"/>
          <w:szCs w:val="24"/>
        </w:rPr>
        <w:t>章）：             法定代表人（签</w:t>
      </w:r>
      <w:r>
        <w:rPr>
          <w:rFonts w:hint="eastAsia" w:ascii="宋体" w:hAnsi="宋体" w:eastAsia="宋体" w:cs="宋体"/>
          <w:sz w:val="24"/>
          <w:szCs w:val="24"/>
          <w:lang w:eastAsia="zh-CN"/>
        </w:rPr>
        <w:t>字或盖</w:t>
      </w:r>
      <w:r>
        <w:rPr>
          <w:rFonts w:hint="eastAsia" w:ascii="宋体" w:hAnsi="宋体" w:eastAsia="宋体" w:cs="宋体"/>
          <w:sz w:val="24"/>
          <w:szCs w:val="24"/>
        </w:rPr>
        <w:t>章）：</w:t>
      </w:r>
    </w:p>
    <w:p w14:paraId="1406806D">
      <w:pPr>
        <w:spacing w:line="600" w:lineRule="exact"/>
        <w:ind w:firstLine="4680" w:firstLineChars="1950"/>
        <w:rPr>
          <w:rFonts w:ascii="宋体" w:hAnsi="宋体" w:eastAsia="宋体" w:cs="宋体"/>
          <w:sz w:val="24"/>
          <w:szCs w:val="24"/>
        </w:rPr>
      </w:pPr>
    </w:p>
    <w:p w14:paraId="0C5EE9D7">
      <w:pPr>
        <w:spacing w:line="600" w:lineRule="exact"/>
        <w:ind w:firstLine="4680" w:firstLineChars="1950"/>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年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63CDCD9">
      <w:pPr>
        <w:widowControl/>
        <w:jc w:val="left"/>
        <w:rPr>
          <w:rFonts w:asciiTheme="minorEastAsia" w:hAnsiTheme="minorEastAsia" w:eastAsiaTheme="minorEastAsia"/>
          <w:b/>
          <w:sz w:val="24"/>
        </w:rPr>
      </w:pPr>
      <w:bookmarkStart w:id="235" w:name="_Toc17888"/>
      <w:bookmarkStart w:id="236" w:name="_Toc6445"/>
      <w:bookmarkStart w:id="237" w:name="_Hlk60608597"/>
      <w:r>
        <w:rPr>
          <w:rFonts w:asciiTheme="minorEastAsia" w:hAnsiTheme="minorEastAsia" w:eastAsiaTheme="minorEastAsia"/>
          <w:b/>
          <w:sz w:val="24"/>
        </w:rPr>
        <w:br w:type="page"/>
      </w:r>
    </w:p>
    <w:p w14:paraId="5D570610">
      <w:pPr>
        <w:keepNext w:val="0"/>
        <w:keepLines w:val="0"/>
        <w:pageBreakBefore w:val="0"/>
        <w:widowControl w:val="0"/>
        <w:kinsoku/>
        <w:wordWrap/>
        <w:overflowPunct/>
        <w:topLinePunct w:val="0"/>
        <w:autoSpaceDE/>
        <w:autoSpaceDN/>
        <w:bidi w:val="0"/>
        <w:adjustRightInd/>
        <w:snapToGrid/>
        <w:spacing w:line="430" w:lineRule="exact"/>
        <w:jc w:val="center"/>
        <w:textAlignment w:val="auto"/>
        <w:outlineLvl w:val="1"/>
        <w:rPr>
          <w:rFonts w:asciiTheme="minorEastAsia" w:hAnsiTheme="minorEastAsia" w:eastAsiaTheme="minorEastAsia"/>
          <w:b/>
          <w:sz w:val="24"/>
        </w:rPr>
      </w:pPr>
      <w:r>
        <w:rPr>
          <w:rFonts w:hint="eastAsia" w:asciiTheme="minorEastAsia" w:hAnsiTheme="minorEastAsia" w:eastAsiaTheme="minorEastAsia"/>
          <w:b/>
          <w:sz w:val="24"/>
        </w:rPr>
        <w:t>（4）中小企业声明函</w:t>
      </w:r>
      <w:bookmarkEnd w:id="235"/>
      <w:bookmarkEnd w:id="236"/>
    </w:p>
    <w:p w14:paraId="2242EF7B">
      <w:pPr>
        <w:keepNext w:val="0"/>
        <w:keepLines w:val="0"/>
        <w:pageBreakBefore w:val="0"/>
        <w:widowControl w:val="0"/>
        <w:kinsoku/>
        <w:wordWrap/>
        <w:overflowPunct/>
        <w:topLinePunct w:val="0"/>
        <w:autoSpaceDE/>
        <w:autoSpaceDN/>
        <w:bidi w:val="0"/>
        <w:adjustRightInd/>
        <w:snapToGrid/>
        <w:spacing w:line="430" w:lineRule="exact"/>
        <w:ind w:firstLine="437"/>
        <w:textAlignment w:val="auto"/>
        <w:rPr>
          <w:rFonts w:ascii="宋体" w:hAnsi="宋体" w:eastAsia="宋体"/>
          <w:sz w:val="24"/>
          <w:szCs w:val="24"/>
          <w:lang w:val="zh-CN"/>
        </w:rPr>
      </w:pPr>
      <w:r>
        <w:rPr>
          <w:rFonts w:hint="eastAsia" w:ascii="宋体" w:hAnsi="宋体" w:eastAsia="宋体"/>
          <w:sz w:val="24"/>
          <w:szCs w:val="24"/>
          <w:lang w:val="zh-CN"/>
        </w:rPr>
        <w:t>本公司（联合体）郑重声明，根据《政府采购促进中小企业发展管理办法》（财库﹝2020﹞46号）的规定，本公司（联合体）参加</w:t>
      </w:r>
      <w:r>
        <w:rPr>
          <w:rFonts w:hint="eastAsia" w:ascii="宋体" w:hAnsi="宋体" w:eastAsia="宋体"/>
          <w:sz w:val="24"/>
          <w:szCs w:val="24"/>
          <w:u w:val="single"/>
          <w:lang w:val="zh-CN"/>
        </w:rPr>
        <w:t>（单位</w:t>
      </w:r>
      <w:r>
        <w:rPr>
          <w:rFonts w:hint="eastAsia" w:ascii="宋体" w:hAnsi="宋体" w:eastAsia="宋体"/>
          <w:sz w:val="24"/>
          <w:szCs w:val="24"/>
          <w:u w:val="single"/>
        </w:rPr>
        <w:t>名称</w:t>
      </w:r>
      <w:r>
        <w:rPr>
          <w:rFonts w:hint="eastAsia" w:ascii="宋体" w:hAnsi="宋体" w:eastAsia="宋体"/>
          <w:sz w:val="24"/>
          <w:szCs w:val="24"/>
          <w:u w:val="single"/>
          <w:lang w:val="zh-CN"/>
        </w:rPr>
        <w:t>）</w:t>
      </w:r>
      <w:r>
        <w:rPr>
          <w:rFonts w:hint="eastAsia" w:ascii="宋体" w:hAnsi="宋体" w:eastAsia="宋体"/>
          <w:sz w:val="24"/>
          <w:szCs w:val="24"/>
          <w:lang w:val="zh-CN"/>
        </w:rPr>
        <w:t>的</w:t>
      </w:r>
      <w:r>
        <w:rPr>
          <w:rFonts w:hint="eastAsia" w:ascii="宋体" w:hAnsi="宋体" w:eastAsia="宋体"/>
          <w:sz w:val="24"/>
          <w:szCs w:val="24"/>
          <w:u w:val="single"/>
          <w:lang w:val="zh-CN"/>
        </w:rPr>
        <w:t>（项目</w:t>
      </w:r>
      <w:r>
        <w:rPr>
          <w:rFonts w:hint="eastAsia" w:ascii="宋体" w:hAnsi="宋体" w:eastAsia="宋体"/>
          <w:sz w:val="24"/>
          <w:szCs w:val="24"/>
          <w:u w:val="single"/>
        </w:rPr>
        <w:t>名称</w:t>
      </w:r>
      <w:r>
        <w:rPr>
          <w:rFonts w:hint="eastAsia" w:ascii="宋体" w:hAnsi="宋体" w:eastAsia="宋体"/>
          <w:sz w:val="24"/>
          <w:szCs w:val="24"/>
          <w:u w:val="single"/>
          <w:lang w:val="zh-CN"/>
        </w:rPr>
        <w:t>）</w:t>
      </w:r>
      <w:r>
        <w:rPr>
          <w:rFonts w:hint="eastAsia" w:ascii="宋体" w:hAnsi="宋体" w:eastAsia="宋体"/>
          <w:sz w:val="24"/>
          <w:szCs w:val="24"/>
          <w:lang w:val="zh-CN"/>
        </w:rPr>
        <w:t xml:space="preserve">采购活动，服务全部由符合政策要求的中小企业承接。相关企业（含联合体中的中小企业、签订分包意向协议的中小企业）的具体情况如下： </w:t>
      </w:r>
    </w:p>
    <w:p w14:paraId="47077969">
      <w:pPr>
        <w:keepNext w:val="0"/>
        <w:keepLines w:val="0"/>
        <w:pageBreakBefore w:val="0"/>
        <w:widowControl w:val="0"/>
        <w:kinsoku/>
        <w:wordWrap/>
        <w:overflowPunct/>
        <w:topLinePunct w:val="0"/>
        <w:autoSpaceDE/>
        <w:autoSpaceDN/>
        <w:bidi w:val="0"/>
        <w:adjustRightInd/>
        <w:snapToGrid/>
        <w:spacing w:line="430" w:lineRule="exact"/>
        <w:ind w:firstLine="437"/>
        <w:textAlignment w:val="auto"/>
        <w:rPr>
          <w:rFonts w:ascii="宋体" w:hAnsi="宋体" w:eastAsia="宋体"/>
          <w:sz w:val="24"/>
          <w:szCs w:val="24"/>
          <w:lang w:val="zh-CN"/>
        </w:rPr>
      </w:pPr>
      <w:r>
        <w:rPr>
          <w:rFonts w:hint="eastAsia" w:ascii="宋体" w:hAnsi="宋体" w:eastAsia="宋体"/>
          <w:sz w:val="24"/>
          <w:szCs w:val="24"/>
          <w:lang w:val="zh-CN"/>
        </w:rPr>
        <w:t>1.</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行业；承接企业为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56AC390F">
      <w:pPr>
        <w:keepNext w:val="0"/>
        <w:keepLines w:val="0"/>
        <w:pageBreakBefore w:val="0"/>
        <w:widowControl w:val="0"/>
        <w:kinsoku/>
        <w:wordWrap/>
        <w:overflowPunct/>
        <w:topLinePunct w:val="0"/>
        <w:autoSpaceDE/>
        <w:autoSpaceDN/>
        <w:bidi w:val="0"/>
        <w:adjustRightInd/>
        <w:snapToGrid/>
        <w:spacing w:line="430" w:lineRule="exact"/>
        <w:ind w:firstLine="437"/>
        <w:textAlignment w:val="auto"/>
        <w:rPr>
          <w:rFonts w:ascii="宋体" w:hAnsi="宋体" w:eastAsia="宋体"/>
          <w:sz w:val="24"/>
          <w:szCs w:val="24"/>
          <w:lang w:val="zh-CN"/>
        </w:rPr>
      </w:pPr>
      <w:r>
        <w:rPr>
          <w:rFonts w:hint="eastAsia" w:ascii="宋体" w:hAnsi="宋体" w:eastAsia="宋体"/>
          <w:sz w:val="24"/>
          <w:szCs w:val="24"/>
          <w:lang w:val="zh-CN"/>
        </w:rPr>
        <w:t>2.</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行业；承接企业为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44C57A2B">
      <w:pPr>
        <w:keepNext w:val="0"/>
        <w:keepLines w:val="0"/>
        <w:pageBreakBefore w:val="0"/>
        <w:widowControl w:val="0"/>
        <w:kinsoku/>
        <w:wordWrap/>
        <w:overflowPunct/>
        <w:topLinePunct w:val="0"/>
        <w:autoSpaceDE/>
        <w:autoSpaceDN/>
        <w:bidi w:val="0"/>
        <w:adjustRightInd/>
        <w:snapToGrid/>
        <w:spacing w:line="430" w:lineRule="exact"/>
        <w:ind w:firstLine="435"/>
        <w:textAlignment w:val="auto"/>
        <w:rPr>
          <w:rFonts w:ascii="宋体" w:hAnsi="宋体" w:eastAsia="宋体"/>
          <w:sz w:val="24"/>
          <w:szCs w:val="24"/>
          <w:lang w:val="zh-CN"/>
        </w:rPr>
      </w:pPr>
      <w:r>
        <w:rPr>
          <w:rFonts w:hint="eastAsia" w:ascii="宋体" w:hAnsi="宋体" w:eastAsia="宋体"/>
          <w:sz w:val="24"/>
          <w:szCs w:val="24"/>
          <w:lang w:val="zh-CN"/>
        </w:rPr>
        <w:t>……</w:t>
      </w:r>
    </w:p>
    <w:p w14:paraId="7B9F4045">
      <w:pPr>
        <w:keepNext w:val="0"/>
        <w:keepLines w:val="0"/>
        <w:pageBreakBefore w:val="0"/>
        <w:widowControl w:val="0"/>
        <w:kinsoku/>
        <w:wordWrap/>
        <w:overflowPunct/>
        <w:topLinePunct w:val="0"/>
        <w:autoSpaceDE/>
        <w:autoSpaceDN/>
        <w:bidi w:val="0"/>
        <w:adjustRightInd/>
        <w:snapToGrid/>
        <w:spacing w:line="430" w:lineRule="exact"/>
        <w:ind w:firstLine="435"/>
        <w:textAlignment w:val="auto"/>
        <w:rPr>
          <w:rFonts w:ascii="宋体" w:hAnsi="宋体" w:eastAsia="宋体"/>
          <w:sz w:val="24"/>
          <w:szCs w:val="24"/>
          <w:lang w:val="zh-CN"/>
        </w:rPr>
      </w:pPr>
      <w:r>
        <w:rPr>
          <w:rFonts w:hint="eastAsia" w:ascii="宋体" w:hAnsi="宋体" w:eastAsia="宋体"/>
          <w:sz w:val="24"/>
          <w:szCs w:val="24"/>
          <w:lang w:val="zh-CN"/>
        </w:rPr>
        <w:t>以上企业，不属于大企业的分支机构，不存在控股股东为大企业的情形，也不存在与大企业的负责人为同一人的情形。</w:t>
      </w:r>
    </w:p>
    <w:p w14:paraId="3C506150">
      <w:pPr>
        <w:keepNext w:val="0"/>
        <w:keepLines w:val="0"/>
        <w:pageBreakBefore w:val="0"/>
        <w:widowControl w:val="0"/>
        <w:kinsoku/>
        <w:wordWrap/>
        <w:overflowPunct/>
        <w:topLinePunct w:val="0"/>
        <w:autoSpaceDE/>
        <w:autoSpaceDN/>
        <w:bidi w:val="0"/>
        <w:adjustRightInd/>
        <w:snapToGrid/>
        <w:spacing w:line="430" w:lineRule="exact"/>
        <w:ind w:firstLine="435"/>
        <w:textAlignment w:val="auto"/>
        <w:rPr>
          <w:rFonts w:ascii="宋体" w:hAnsi="宋体" w:eastAsia="宋体"/>
          <w:sz w:val="24"/>
          <w:szCs w:val="24"/>
          <w:lang w:val="zh-CN"/>
        </w:rPr>
      </w:pPr>
      <w:r>
        <w:rPr>
          <w:rFonts w:hint="eastAsia" w:ascii="宋体" w:hAnsi="宋体" w:eastAsia="宋体"/>
          <w:sz w:val="24"/>
          <w:szCs w:val="24"/>
          <w:lang w:val="zh-CN"/>
        </w:rPr>
        <w:t xml:space="preserve">本企业对上述声明内容的真实性负责。如有虚假，将依法承担相应责任。 </w:t>
      </w:r>
    </w:p>
    <w:p w14:paraId="5F7B9E0C">
      <w:pPr>
        <w:keepNext w:val="0"/>
        <w:keepLines w:val="0"/>
        <w:pageBreakBefore w:val="0"/>
        <w:widowControl w:val="0"/>
        <w:kinsoku/>
        <w:wordWrap/>
        <w:overflowPunct/>
        <w:topLinePunct w:val="0"/>
        <w:autoSpaceDE/>
        <w:autoSpaceDN/>
        <w:bidi w:val="0"/>
        <w:adjustRightInd/>
        <w:snapToGrid/>
        <w:spacing w:line="430" w:lineRule="exact"/>
        <w:ind w:firstLine="4228" w:firstLineChars="1762"/>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供应商盖公章：</w:t>
      </w:r>
      <w:r>
        <w:rPr>
          <w:rFonts w:asciiTheme="minorEastAsia" w:hAnsiTheme="minorEastAsia" w:eastAsiaTheme="minorEastAsia"/>
          <w:sz w:val="24"/>
          <w:szCs w:val="24"/>
          <w:u w:val="single"/>
        </w:rPr>
        <w:t xml:space="preserve">             </w:t>
      </w:r>
    </w:p>
    <w:p w14:paraId="52732F74">
      <w:pPr>
        <w:keepNext w:val="0"/>
        <w:keepLines w:val="0"/>
        <w:pageBreakBefore w:val="0"/>
        <w:widowControl w:val="0"/>
        <w:tabs>
          <w:tab w:val="left" w:pos="4620"/>
        </w:tabs>
        <w:kinsoku/>
        <w:wordWrap/>
        <w:overflowPunct/>
        <w:topLinePunct w:val="0"/>
        <w:autoSpaceDE/>
        <w:autoSpaceDN/>
        <w:bidi w:val="0"/>
        <w:adjustRightInd/>
        <w:snapToGrid/>
        <w:spacing w:line="430" w:lineRule="exact"/>
        <w:ind w:firstLine="4252" w:firstLineChars="1772"/>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bookmarkEnd w:id="237"/>
    <w:p w14:paraId="6ED00686">
      <w:pPr>
        <w:tabs>
          <w:tab w:val="left" w:pos="4620"/>
        </w:tabs>
        <w:spacing w:line="360" w:lineRule="auto"/>
        <w:jc w:val="left"/>
        <w:rPr>
          <w:rFonts w:asciiTheme="minorEastAsia" w:hAnsiTheme="minorEastAsia" w:eastAsiaTheme="minorEastAsia"/>
          <w:b/>
          <w:szCs w:val="24"/>
        </w:rPr>
      </w:pPr>
      <w:r>
        <w:rPr>
          <w:rFonts w:hint="eastAsia" w:asciiTheme="minorEastAsia" w:hAnsiTheme="minorEastAsia" w:eastAsiaTheme="minorEastAsia"/>
          <w:b/>
          <w:szCs w:val="24"/>
        </w:rPr>
        <w:t>注：</w:t>
      </w:r>
    </w:p>
    <w:p w14:paraId="0926E826">
      <w:pPr>
        <w:tabs>
          <w:tab w:val="left" w:pos="4620"/>
        </w:tabs>
        <w:spacing w:line="360" w:lineRule="auto"/>
        <w:jc w:val="left"/>
        <w:rPr>
          <w:rFonts w:asciiTheme="minorEastAsia" w:hAnsiTheme="minorEastAsia" w:eastAsiaTheme="minorEastAsia"/>
          <w:szCs w:val="24"/>
        </w:rPr>
      </w:pPr>
      <w:r>
        <w:rPr>
          <w:rFonts w:asciiTheme="minorEastAsia" w:hAnsiTheme="minorEastAsia" w:eastAsiaTheme="minorEastAsia"/>
          <w:szCs w:val="24"/>
        </w:rPr>
        <w:t>1.从业人员、营业收入、资产总额填报上一年数据，无上一年数据的新成立企业可不填报。</w:t>
      </w:r>
    </w:p>
    <w:p w14:paraId="076D9A5C">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供应商自行登录工业和信息化部官网进行中小企业规模类型自测（查询网址https://www.miit.gov.cn/）。</w:t>
      </w:r>
    </w:p>
    <w:p w14:paraId="16482D87">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”，详见第三章采购需求前附表中明确的“标的名称”。（本项目填写整体项目名称。）</w:t>
      </w:r>
    </w:p>
    <w:p w14:paraId="6A944584">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”，详见第三章采购需求前附表中明确的“所属行业”。</w:t>
      </w:r>
    </w:p>
    <w:p w14:paraId="3215EF70">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5．填写示例：</w:t>
      </w:r>
      <w:r>
        <w:rPr>
          <w:rFonts w:hint="eastAsia" w:ascii="宋体" w:hAnsi="宋体" w:eastAsia="宋体" w:cs="宋体"/>
          <w:b/>
          <w:bCs/>
          <w:szCs w:val="21"/>
          <w:u w:val="single"/>
        </w:rPr>
        <w:t>某标的名称</w:t>
      </w:r>
      <w:r>
        <w:rPr>
          <w:rFonts w:hint="eastAsia" w:ascii="宋体" w:hAnsi="宋体" w:eastAsia="宋体" w:cs="宋体"/>
          <w:b/>
          <w:bCs/>
          <w:szCs w:val="21"/>
        </w:rPr>
        <w:t>（</w:t>
      </w:r>
      <w:r>
        <w:rPr>
          <w:rFonts w:hint="eastAsia" w:ascii="宋体" w:hAnsi="宋体" w:eastAsia="宋体" w:cs="宋体"/>
          <w:b/>
          <w:bCs/>
          <w:szCs w:val="21"/>
          <w:u w:val="single"/>
        </w:rPr>
        <w:t>填写第三章采购需求前附表中明确的“标的名称”</w:t>
      </w:r>
      <w:r>
        <w:rPr>
          <w:rFonts w:hint="eastAsia" w:ascii="宋体" w:hAnsi="宋体" w:eastAsia="宋体" w:cs="宋体"/>
          <w:b/>
          <w:bCs/>
          <w:szCs w:val="21"/>
        </w:rPr>
        <w:t>），属于</w:t>
      </w:r>
      <w:r>
        <w:rPr>
          <w:rFonts w:hint="eastAsia" w:ascii="宋体" w:hAnsi="宋体" w:eastAsia="宋体" w:cs="宋体"/>
          <w:b/>
          <w:bCs/>
          <w:szCs w:val="21"/>
          <w:u w:val="single"/>
        </w:rPr>
        <w:t>（填写第三章采购需求前附表中明确的“所属行业”，如软件和信息技术服务业）</w:t>
      </w:r>
      <w:r>
        <w:rPr>
          <w:rFonts w:hint="eastAsia" w:ascii="宋体" w:hAnsi="宋体" w:eastAsia="宋体" w:cs="宋体"/>
          <w:b/>
          <w:bCs/>
          <w:szCs w:val="21"/>
        </w:rPr>
        <w:t>行业；承接企业为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rPr>
        <w:t>中</w:t>
      </w:r>
      <w:r>
        <w:rPr>
          <w:rFonts w:hint="eastAsia" w:ascii="宋体" w:hAnsi="宋体" w:eastAsia="宋体" w:cs="宋体"/>
          <w:b/>
          <w:bCs/>
          <w:szCs w:val="21"/>
          <w:u w:val="single"/>
          <w:lang w:val="zh-CN"/>
        </w:rPr>
        <w:t>型</w:t>
      </w:r>
      <w:r>
        <w:rPr>
          <w:rFonts w:hint="eastAsia" w:ascii="宋体" w:hAnsi="宋体" w:eastAsia="宋体" w:cs="宋体"/>
          <w:b/>
          <w:bCs/>
          <w:szCs w:val="21"/>
          <w:lang w:val="zh-CN"/>
        </w:rPr>
        <w:t>企业</w:t>
      </w:r>
      <w:r>
        <w:rPr>
          <w:rFonts w:hint="eastAsia" w:ascii="宋体" w:hAnsi="宋体" w:eastAsia="宋体" w:cs="宋体"/>
          <w:b/>
          <w:bCs/>
          <w:szCs w:val="21"/>
        </w:rPr>
        <w:t>[供应商自行登录工业和信息化部官网进行中小企业规模类型自测（查询网址https://www.miit.gov.cn/）]</w:t>
      </w:r>
      <w:r>
        <w:rPr>
          <w:rFonts w:hint="eastAsia" w:ascii="宋体" w:hAnsi="宋体" w:eastAsia="宋体" w:cs="宋体"/>
          <w:b/>
          <w:bCs/>
          <w:szCs w:val="21"/>
          <w:lang w:val="zh-CN"/>
        </w:rPr>
        <w:t>。</w:t>
      </w:r>
    </w:p>
    <w:p w14:paraId="23868A78">
      <w:pPr>
        <w:tabs>
          <w:tab w:val="left" w:pos="4620"/>
        </w:tabs>
        <w:spacing w:line="360" w:lineRule="auto"/>
        <w:rPr>
          <w:rFonts w:asciiTheme="minorEastAsia" w:hAnsiTheme="minorEastAsia" w:eastAsiaTheme="minorEastAsia"/>
          <w:sz w:val="24"/>
        </w:rPr>
      </w:pPr>
      <w:r>
        <w:rPr>
          <w:rFonts w:asciiTheme="minorEastAsia" w:hAnsiTheme="minorEastAsia" w:eastAsiaTheme="minorEastAsia"/>
          <w:sz w:val="24"/>
        </w:rPr>
        <w:br w:type="page"/>
      </w:r>
    </w:p>
    <w:p w14:paraId="2678536E">
      <w:pPr>
        <w:spacing w:line="360" w:lineRule="auto"/>
        <w:jc w:val="center"/>
        <w:outlineLvl w:val="1"/>
        <w:rPr>
          <w:rFonts w:asciiTheme="minorEastAsia" w:hAnsiTheme="minorEastAsia" w:eastAsiaTheme="minorEastAsia"/>
          <w:b/>
          <w:sz w:val="24"/>
        </w:rPr>
      </w:pPr>
      <w:bookmarkStart w:id="238" w:name="_Toc5908"/>
      <w:bookmarkStart w:id="239" w:name="_Toc17713"/>
      <w:bookmarkStart w:id="240" w:name="_Hlk60608725"/>
      <w:r>
        <w:rPr>
          <w:rFonts w:hint="eastAsia" w:asciiTheme="minorEastAsia" w:hAnsiTheme="minorEastAsia" w:eastAsiaTheme="minorEastAsia"/>
          <w:b/>
          <w:sz w:val="24"/>
        </w:rPr>
        <w:t>（5）残疾人福利性单位声明函</w:t>
      </w:r>
      <w:bookmarkEnd w:id="238"/>
      <w:bookmarkEnd w:id="239"/>
    </w:p>
    <w:p w14:paraId="090D838A">
      <w:pPr>
        <w:pStyle w:val="12"/>
        <w:jc w:val="center"/>
        <w:rPr>
          <w:rFonts w:asciiTheme="minorEastAsia" w:hAnsiTheme="minorEastAsia" w:eastAsiaTheme="minorEastAsia"/>
          <w:spacing w:val="6"/>
          <w:sz w:val="24"/>
        </w:rPr>
      </w:pPr>
      <w:r>
        <w:rPr>
          <w:rFonts w:hint="eastAsia" w:ascii="宋体" w:hAnsi="宋体" w:eastAsia="宋体"/>
          <w:i/>
          <w:sz w:val="24"/>
          <w:lang w:val="en-US"/>
        </w:rPr>
        <w:t>（非残疾人福利性单位磋商，请删去“残疾人福利性单位声明函”）</w:t>
      </w:r>
    </w:p>
    <w:p w14:paraId="1E5BC519">
      <w:pPr>
        <w:spacing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w:t>
      </w:r>
      <w:r>
        <w:rPr>
          <w:rFonts w:hint="eastAsia" w:asciiTheme="minorEastAsia" w:hAnsiTheme="minorEastAsia" w:eastAsiaTheme="minorEastAsia"/>
          <w:sz w:val="24"/>
        </w:rPr>
        <w:t>郑重</w:t>
      </w:r>
      <w:r>
        <w:rPr>
          <w:rFonts w:hint="eastAsia" w:asciiTheme="minorEastAsia" w:hAnsiTheme="minorEastAsia" w:eastAsiaTheme="minorEastAsia"/>
          <w:spacing w:val="6"/>
          <w:sz w:val="24"/>
          <w:szCs w:val="24"/>
        </w:rPr>
        <w:t>声明，根据《财政部 民政部 中国残疾人联合会关于促进残疾人就业政府采购政策的通知》（财库</w:t>
      </w:r>
      <w:r>
        <w:rPr>
          <w:rFonts w:hint="eastAsia" w:asciiTheme="minorEastAsia" w:hAnsiTheme="minorEastAsia" w:eastAsiaTheme="minorEastAsia"/>
          <w:sz w:val="24"/>
          <w:szCs w:val="24"/>
        </w:rPr>
        <w:t>〔2017〕141</w:t>
      </w:r>
      <w:r>
        <w:rPr>
          <w:rFonts w:hint="eastAsia" w:asciiTheme="minorEastAsia" w:hAnsiTheme="minorEastAsia" w:eastAsiaTheme="minorEastAsia"/>
          <w:spacing w:val="6"/>
          <w:sz w:val="24"/>
          <w:szCs w:val="24"/>
        </w:rPr>
        <w:t>号）的规定，本单位为</w:t>
      </w:r>
      <w:r>
        <w:rPr>
          <w:rFonts w:hint="eastAsia" w:asciiTheme="minorEastAsia" w:hAnsiTheme="minorEastAsia" w:eastAsiaTheme="minorEastAsia"/>
          <w:bCs/>
          <w:sz w:val="24"/>
          <w:szCs w:val="24"/>
        </w:rPr>
        <w:t>符合</w:t>
      </w:r>
      <w:r>
        <w:rPr>
          <w:rFonts w:hint="eastAsia" w:asciiTheme="minorEastAsia" w:hAnsiTheme="minorEastAsia" w:eastAsiaTheme="minorEastAsia"/>
          <w:spacing w:val="6"/>
          <w:sz w:val="24"/>
          <w:szCs w:val="24"/>
        </w:rPr>
        <w:t>条件的残疾人福利性单位，且本单位参加</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单位的</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07E889C6">
      <w:pPr>
        <w:spacing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本单位对上述声明的真实性负责。如有虚假，将依法承担相应责任。</w:t>
      </w:r>
    </w:p>
    <w:p w14:paraId="6C1324D2">
      <w:pPr>
        <w:spacing w:line="360" w:lineRule="auto"/>
        <w:ind w:firstLine="4228" w:firstLineChars="1762"/>
        <w:rPr>
          <w:rFonts w:asciiTheme="minorEastAsia" w:hAnsiTheme="minorEastAsia" w:eastAsiaTheme="minorEastAsia"/>
          <w:sz w:val="24"/>
          <w:szCs w:val="24"/>
        </w:rPr>
      </w:pPr>
    </w:p>
    <w:p w14:paraId="0A34AF0D">
      <w:pPr>
        <w:spacing w:line="360" w:lineRule="auto"/>
        <w:ind w:firstLine="4228" w:firstLineChars="1762"/>
        <w:rPr>
          <w:rFonts w:asciiTheme="minorEastAsia" w:hAnsiTheme="minorEastAsia" w:eastAsiaTheme="minorEastAsia"/>
          <w:sz w:val="24"/>
          <w:szCs w:val="24"/>
        </w:rPr>
      </w:pPr>
    </w:p>
    <w:p w14:paraId="16C7F9E9">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供应商盖公章：</w:t>
      </w:r>
      <w:r>
        <w:rPr>
          <w:rFonts w:asciiTheme="minorEastAsia" w:hAnsiTheme="minorEastAsia" w:eastAsiaTheme="minorEastAsia"/>
          <w:sz w:val="24"/>
          <w:szCs w:val="24"/>
          <w:u w:val="single"/>
        </w:rPr>
        <w:t xml:space="preserve">             </w:t>
      </w:r>
    </w:p>
    <w:p w14:paraId="4F3ADEEB">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bookmarkEnd w:id="240"/>
    <w:p w14:paraId="4D3D1959">
      <w:pPr>
        <w:widowControl/>
        <w:jc w:val="left"/>
        <w:rPr>
          <w:rFonts w:ascii="宋体" w:hAnsi="宋体" w:eastAsia="宋体" w:cs="宋体"/>
          <w:b/>
          <w:sz w:val="32"/>
          <w:szCs w:val="32"/>
        </w:rPr>
      </w:pPr>
      <w:r>
        <w:rPr>
          <w:rFonts w:ascii="宋体" w:hAnsi="宋体" w:eastAsia="宋体" w:cs="宋体"/>
          <w:b/>
          <w:sz w:val="32"/>
          <w:szCs w:val="32"/>
        </w:rPr>
        <w:br w:type="page"/>
      </w:r>
    </w:p>
    <w:p w14:paraId="260F23BE">
      <w:pPr>
        <w:jc w:val="left"/>
        <w:rPr>
          <w:rFonts w:ascii="宋体" w:hAnsi="宋体" w:eastAsia="宋体" w:cs="宋体"/>
          <w:b/>
          <w:sz w:val="32"/>
          <w:szCs w:val="32"/>
        </w:rPr>
      </w:pPr>
      <w:r>
        <w:rPr>
          <w:rFonts w:hint="eastAsia" w:ascii="宋体" w:hAnsi="宋体" w:eastAsia="宋体" w:cs="宋体"/>
          <w:b/>
          <w:sz w:val="32"/>
          <w:szCs w:val="32"/>
        </w:rPr>
        <w:t>二、技术标格式文件</w:t>
      </w:r>
    </w:p>
    <w:p w14:paraId="0AD776A3">
      <w:pPr>
        <w:jc w:val="center"/>
        <w:rPr>
          <w:rFonts w:ascii="宋体" w:hAnsi="宋体" w:eastAsia="宋体" w:cs="宋体"/>
          <w:b/>
          <w:sz w:val="24"/>
          <w:szCs w:val="24"/>
        </w:rPr>
      </w:pPr>
    </w:p>
    <w:p w14:paraId="1586E4EF">
      <w:pPr>
        <w:jc w:val="center"/>
        <w:rPr>
          <w:rFonts w:ascii="宋体" w:hAnsi="宋体" w:eastAsia="宋体" w:cs="宋体"/>
          <w:b/>
          <w:sz w:val="24"/>
          <w:szCs w:val="24"/>
        </w:rPr>
      </w:pPr>
    </w:p>
    <w:p w14:paraId="6E1608EC">
      <w:pPr>
        <w:rPr>
          <w:rFonts w:ascii="宋体" w:hAnsi="宋体" w:eastAsia="宋体" w:cs="宋体"/>
          <w:b/>
          <w:sz w:val="24"/>
          <w:szCs w:val="24"/>
        </w:rPr>
      </w:pPr>
    </w:p>
    <w:p w14:paraId="325D89AF">
      <w:pPr>
        <w:rPr>
          <w:rFonts w:ascii="宋体" w:hAnsi="宋体" w:eastAsia="宋体" w:cs="宋体"/>
          <w:b/>
          <w:sz w:val="24"/>
          <w:szCs w:val="24"/>
        </w:rPr>
      </w:pPr>
    </w:p>
    <w:p w14:paraId="48AD879F">
      <w:pPr>
        <w:rPr>
          <w:rFonts w:ascii="宋体" w:hAnsi="宋体" w:eastAsia="宋体" w:cs="宋体"/>
          <w:b/>
          <w:sz w:val="24"/>
          <w:szCs w:val="24"/>
        </w:rPr>
      </w:pPr>
    </w:p>
    <w:p w14:paraId="09B6D085">
      <w:pPr>
        <w:jc w:val="center"/>
        <w:rPr>
          <w:rFonts w:ascii="宋体" w:hAnsi="宋体" w:eastAsia="宋体" w:cs="宋体"/>
          <w:bCs/>
          <w:sz w:val="44"/>
          <w:szCs w:val="44"/>
        </w:rPr>
      </w:pPr>
      <w:r>
        <w:rPr>
          <w:rFonts w:hint="eastAsia" w:ascii="宋体" w:hAnsi="宋体" w:eastAsia="宋体" w:cs="宋体"/>
          <w:bCs/>
          <w:sz w:val="44"/>
          <w:szCs w:val="44"/>
        </w:rPr>
        <w:t>技术标文件</w:t>
      </w:r>
    </w:p>
    <w:p w14:paraId="4D6D13BE">
      <w:pPr>
        <w:jc w:val="center"/>
        <w:rPr>
          <w:rFonts w:ascii="宋体" w:hAnsi="宋体" w:eastAsia="宋体" w:cs="宋体"/>
          <w:bCs/>
          <w:sz w:val="28"/>
          <w:szCs w:val="28"/>
        </w:rPr>
      </w:pPr>
      <w:r>
        <w:rPr>
          <w:rFonts w:hint="eastAsia" w:ascii="宋体" w:hAnsi="宋体" w:eastAsia="宋体" w:cs="宋体"/>
          <w:bCs/>
          <w:sz w:val="28"/>
          <w:szCs w:val="28"/>
        </w:rPr>
        <w:t>（响应文件二）</w:t>
      </w:r>
    </w:p>
    <w:p w14:paraId="7F19F9AE">
      <w:pPr>
        <w:jc w:val="center"/>
        <w:rPr>
          <w:rFonts w:ascii="宋体" w:hAnsi="宋体" w:eastAsia="宋体" w:cs="宋体"/>
          <w:bCs/>
          <w:sz w:val="28"/>
          <w:szCs w:val="28"/>
        </w:rPr>
      </w:pPr>
    </w:p>
    <w:p w14:paraId="5769BF97">
      <w:pPr>
        <w:jc w:val="center"/>
        <w:rPr>
          <w:rFonts w:ascii="宋体" w:hAnsi="宋体" w:eastAsia="宋体" w:cs="宋体"/>
          <w:sz w:val="32"/>
          <w:szCs w:val="32"/>
        </w:rPr>
      </w:pPr>
      <w:r>
        <w:rPr>
          <w:rFonts w:hint="eastAsia" w:ascii="宋体" w:hAnsi="宋体" w:eastAsia="宋体" w:cs="宋体"/>
          <w:sz w:val="32"/>
          <w:szCs w:val="32"/>
          <w:u w:val="single"/>
        </w:rPr>
        <w:t xml:space="preserve">        </w:t>
      </w:r>
      <w:r>
        <w:rPr>
          <w:rFonts w:hint="eastAsia" w:ascii="宋体" w:hAnsi="宋体" w:eastAsia="宋体" w:cs="宋体"/>
          <w:sz w:val="32"/>
          <w:szCs w:val="32"/>
        </w:rPr>
        <w:t>项目</w:t>
      </w:r>
    </w:p>
    <w:p w14:paraId="77E11A38">
      <w:pPr>
        <w:jc w:val="center"/>
        <w:rPr>
          <w:rFonts w:ascii="宋体" w:hAnsi="宋体" w:eastAsia="宋体" w:cs="宋体"/>
          <w:sz w:val="44"/>
          <w:szCs w:val="44"/>
        </w:rPr>
      </w:pPr>
      <w:r>
        <w:rPr>
          <w:rFonts w:hint="eastAsia" w:ascii="宋体" w:hAnsi="宋体" w:eastAsia="宋体" w:cs="宋体"/>
          <w:sz w:val="28"/>
          <w:szCs w:val="28"/>
        </w:rPr>
        <w:t>项目编号：</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p>
    <w:p w14:paraId="784DDA49">
      <w:pPr>
        <w:rPr>
          <w:rFonts w:ascii="宋体" w:hAnsi="宋体" w:eastAsia="宋体" w:cs="宋体"/>
          <w:bCs/>
          <w:sz w:val="24"/>
          <w:szCs w:val="24"/>
        </w:rPr>
      </w:pPr>
    </w:p>
    <w:p w14:paraId="0DF3E43A">
      <w:pPr>
        <w:rPr>
          <w:rFonts w:ascii="宋体" w:hAnsi="宋体" w:eastAsia="宋体" w:cs="宋体"/>
          <w:bCs/>
          <w:sz w:val="24"/>
          <w:szCs w:val="24"/>
        </w:rPr>
      </w:pPr>
    </w:p>
    <w:p w14:paraId="22E27AB1">
      <w:pPr>
        <w:rPr>
          <w:rFonts w:ascii="宋体" w:hAnsi="宋体" w:eastAsia="宋体" w:cs="宋体"/>
          <w:bCs/>
          <w:sz w:val="24"/>
          <w:szCs w:val="24"/>
        </w:rPr>
      </w:pPr>
    </w:p>
    <w:p w14:paraId="10E37B54">
      <w:pPr>
        <w:rPr>
          <w:rFonts w:ascii="宋体" w:hAnsi="宋体" w:eastAsia="宋体" w:cs="宋体"/>
          <w:bCs/>
          <w:sz w:val="24"/>
          <w:szCs w:val="24"/>
        </w:rPr>
      </w:pPr>
    </w:p>
    <w:p w14:paraId="770F8AA7">
      <w:pPr>
        <w:rPr>
          <w:rFonts w:ascii="宋体" w:hAnsi="宋体" w:eastAsia="宋体" w:cs="宋体"/>
          <w:bCs/>
          <w:sz w:val="24"/>
          <w:szCs w:val="24"/>
        </w:rPr>
      </w:pPr>
    </w:p>
    <w:p w14:paraId="4441C33D">
      <w:pPr>
        <w:rPr>
          <w:rFonts w:ascii="宋体" w:hAnsi="宋体" w:eastAsia="宋体" w:cs="宋体"/>
          <w:bCs/>
          <w:sz w:val="24"/>
          <w:szCs w:val="24"/>
        </w:rPr>
      </w:pPr>
    </w:p>
    <w:p w14:paraId="6712DBEF">
      <w:pPr>
        <w:rPr>
          <w:rFonts w:ascii="宋体" w:hAnsi="宋体" w:eastAsia="宋体" w:cs="宋体"/>
          <w:bCs/>
          <w:sz w:val="24"/>
          <w:szCs w:val="24"/>
        </w:rPr>
      </w:pPr>
    </w:p>
    <w:p w14:paraId="2C64B082">
      <w:pPr>
        <w:rPr>
          <w:rFonts w:ascii="宋体" w:hAnsi="宋体" w:eastAsia="宋体" w:cs="宋体"/>
          <w:bCs/>
          <w:sz w:val="24"/>
          <w:szCs w:val="24"/>
        </w:rPr>
      </w:pPr>
    </w:p>
    <w:p w14:paraId="274FE7B4">
      <w:pPr>
        <w:rPr>
          <w:rFonts w:ascii="宋体" w:hAnsi="宋体" w:eastAsia="宋体" w:cs="宋体"/>
          <w:bCs/>
          <w:sz w:val="24"/>
          <w:szCs w:val="24"/>
        </w:rPr>
      </w:pPr>
    </w:p>
    <w:p w14:paraId="5D55465B">
      <w:pPr>
        <w:rPr>
          <w:rFonts w:ascii="宋体" w:hAnsi="宋体" w:eastAsia="宋体" w:cs="宋体"/>
          <w:bCs/>
          <w:sz w:val="24"/>
          <w:szCs w:val="24"/>
        </w:rPr>
      </w:pPr>
    </w:p>
    <w:p w14:paraId="7662791C">
      <w:pPr>
        <w:rPr>
          <w:rFonts w:ascii="宋体" w:hAnsi="宋体" w:eastAsia="宋体" w:cs="宋体"/>
          <w:bCs/>
          <w:sz w:val="24"/>
          <w:szCs w:val="24"/>
        </w:rPr>
      </w:pPr>
    </w:p>
    <w:p w14:paraId="42646DC7">
      <w:pPr>
        <w:spacing w:line="360" w:lineRule="auto"/>
        <w:rPr>
          <w:rFonts w:ascii="宋体" w:hAnsi="宋体" w:eastAsia="宋体" w:cs="宋体"/>
          <w:bCs/>
          <w:sz w:val="28"/>
          <w:szCs w:val="28"/>
        </w:rPr>
      </w:pPr>
    </w:p>
    <w:p w14:paraId="19AAB4CB">
      <w:pPr>
        <w:pStyle w:val="2"/>
        <w:ind w:firstLine="560"/>
        <w:rPr>
          <w:rFonts w:ascii="宋体" w:hAnsi="宋体" w:eastAsia="宋体" w:cs="宋体"/>
          <w:bCs/>
          <w:sz w:val="28"/>
          <w:szCs w:val="28"/>
        </w:rPr>
      </w:pPr>
    </w:p>
    <w:p w14:paraId="2FB0B4AA">
      <w:pPr>
        <w:rPr>
          <w:rFonts w:ascii="宋体" w:hAnsi="宋体" w:eastAsia="宋体" w:cs="宋体"/>
        </w:rPr>
      </w:pPr>
    </w:p>
    <w:p w14:paraId="18D359ED">
      <w:pPr>
        <w:spacing w:line="360" w:lineRule="auto"/>
        <w:jc w:val="center"/>
        <w:rPr>
          <w:rFonts w:ascii="宋体" w:hAnsi="宋体" w:eastAsia="宋体" w:cs="宋体"/>
          <w:bCs/>
          <w:sz w:val="28"/>
          <w:szCs w:val="28"/>
          <w:u w:val="single"/>
        </w:rPr>
      </w:pPr>
      <w:r>
        <w:rPr>
          <w:rFonts w:hint="eastAsia" w:ascii="宋体" w:hAnsi="宋体" w:eastAsia="宋体" w:cs="宋体"/>
          <w:bCs/>
          <w:sz w:val="28"/>
          <w:szCs w:val="28"/>
        </w:rPr>
        <w:t>供应商：</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w:t>
      </w:r>
      <w:r>
        <w:rPr>
          <w:rFonts w:hint="eastAsia" w:ascii="宋体" w:hAnsi="宋体" w:eastAsia="宋体" w:cs="宋体"/>
          <w:bCs/>
          <w:sz w:val="28"/>
          <w:szCs w:val="28"/>
          <w:lang w:eastAsia="zh-CN"/>
        </w:rPr>
        <w:t>盖单位公</w:t>
      </w:r>
      <w:r>
        <w:rPr>
          <w:rFonts w:hint="eastAsia" w:ascii="宋体" w:hAnsi="宋体" w:eastAsia="宋体" w:cs="宋体"/>
          <w:bCs/>
          <w:sz w:val="28"/>
          <w:szCs w:val="28"/>
        </w:rPr>
        <w:t>章）</w:t>
      </w:r>
    </w:p>
    <w:p w14:paraId="70AD3652">
      <w:pPr>
        <w:spacing w:line="360" w:lineRule="auto"/>
        <w:jc w:val="center"/>
        <w:rPr>
          <w:rFonts w:ascii="宋体" w:hAnsi="宋体" w:eastAsia="宋体" w:cs="宋体"/>
          <w:bCs/>
          <w:sz w:val="28"/>
          <w:szCs w:val="28"/>
        </w:rPr>
      </w:pPr>
      <w:r>
        <w:rPr>
          <w:rFonts w:hint="eastAsia" w:ascii="宋体" w:hAnsi="宋体" w:eastAsia="宋体" w:cs="宋体"/>
          <w:bCs/>
          <w:sz w:val="28"/>
          <w:szCs w:val="28"/>
        </w:rPr>
        <w:t>法定代表人：</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（签</w:t>
      </w:r>
      <w:r>
        <w:rPr>
          <w:rFonts w:hint="eastAsia" w:ascii="宋体" w:hAnsi="宋体" w:eastAsia="宋体" w:cs="宋体"/>
          <w:bCs/>
          <w:sz w:val="28"/>
          <w:szCs w:val="28"/>
          <w:lang w:eastAsia="zh-CN"/>
        </w:rPr>
        <w:t>字或盖</w:t>
      </w:r>
      <w:r>
        <w:rPr>
          <w:rFonts w:hint="eastAsia" w:ascii="宋体" w:hAnsi="宋体" w:eastAsia="宋体" w:cs="宋体"/>
          <w:bCs/>
          <w:sz w:val="28"/>
          <w:szCs w:val="28"/>
        </w:rPr>
        <w:t>章）</w:t>
      </w:r>
    </w:p>
    <w:p w14:paraId="479C02EC">
      <w:pPr>
        <w:spacing w:line="360" w:lineRule="auto"/>
        <w:jc w:val="center"/>
        <w:rPr>
          <w:rFonts w:ascii="宋体" w:hAnsi="宋体" w:eastAsia="宋体" w:cs="宋体"/>
          <w:bCs/>
          <w:sz w:val="28"/>
          <w:szCs w:val="28"/>
        </w:rPr>
      </w:pPr>
      <w:r>
        <w:rPr>
          <w:rFonts w:hint="eastAsia" w:ascii="宋体" w:hAnsi="宋体" w:eastAsia="宋体" w:cs="宋体"/>
          <w:bCs/>
          <w:sz w:val="28"/>
          <w:szCs w:val="28"/>
          <w:u w:val="single"/>
        </w:rPr>
        <w:t xml:space="preserve">        </w:t>
      </w:r>
      <w:r>
        <w:rPr>
          <w:rFonts w:hint="eastAsia" w:ascii="宋体" w:hAnsi="宋体" w:eastAsia="宋体" w:cs="宋体"/>
          <w:bCs/>
          <w:sz w:val="28"/>
          <w:szCs w:val="28"/>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日</w:t>
      </w:r>
    </w:p>
    <w:p w14:paraId="01843EAF">
      <w:pPr>
        <w:widowControl/>
        <w:jc w:val="left"/>
        <w:rPr>
          <w:rFonts w:ascii="宋体" w:hAnsi="宋体" w:eastAsia="宋体" w:cs="宋体"/>
          <w:b/>
          <w:color w:val="000000"/>
          <w:sz w:val="36"/>
          <w:szCs w:val="36"/>
          <w:lang w:bidi="ar"/>
        </w:rPr>
      </w:pPr>
      <w:r>
        <w:rPr>
          <w:rFonts w:ascii="宋体" w:hAnsi="宋体" w:eastAsia="宋体" w:cs="宋体"/>
          <w:b/>
          <w:color w:val="000000"/>
          <w:sz w:val="36"/>
          <w:szCs w:val="36"/>
          <w:lang w:bidi="ar"/>
        </w:rPr>
        <w:br w:type="page"/>
      </w:r>
    </w:p>
    <w:p w14:paraId="756A69B9">
      <w:pPr>
        <w:spacing w:line="400" w:lineRule="exact"/>
        <w:jc w:val="center"/>
        <w:rPr>
          <w:rFonts w:ascii="宋体" w:hAnsi="宋体" w:eastAsia="宋体" w:cs="宋体"/>
          <w:b/>
          <w:color w:val="000000"/>
          <w:sz w:val="36"/>
          <w:szCs w:val="36"/>
        </w:rPr>
      </w:pPr>
      <w:r>
        <w:rPr>
          <w:rFonts w:hint="eastAsia" w:ascii="宋体" w:hAnsi="宋体" w:eastAsia="宋体" w:cs="宋体"/>
          <w:b/>
          <w:color w:val="000000"/>
          <w:sz w:val="36"/>
          <w:szCs w:val="36"/>
          <w:lang w:bidi="ar"/>
        </w:rPr>
        <w:t>目   录</w:t>
      </w:r>
    </w:p>
    <w:p w14:paraId="1387B945">
      <w:pPr>
        <w:spacing w:line="400" w:lineRule="exact"/>
        <w:ind w:firstLine="3744" w:firstLineChars="1036"/>
        <w:rPr>
          <w:rFonts w:ascii="宋体" w:hAnsi="宋体" w:eastAsia="宋体" w:cs="宋体"/>
          <w:b/>
          <w:color w:val="000000"/>
          <w:sz w:val="36"/>
          <w:szCs w:val="36"/>
        </w:rPr>
      </w:pPr>
      <w:r>
        <w:rPr>
          <w:rFonts w:hint="eastAsia" w:ascii="宋体" w:hAnsi="宋体" w:eastAsia="宋体" w:cs="宋体"/>
          <w:b/>
          <w:color w:val="000000"/>
          <w:sz w:val="36"/>
          <w:szCs w:val="36"/>
          <w:lang w:bidi="ar"/>
        </w:rPr>
        <w:t xml:space="preserve"> </w:t>
      </w:r>
    </w:p>
    <w:p w14:paraId="32AE7D77">
      <w:pPr>
        <w:spacing w:line="400" w:lineRule="exact"/>
        <w:ind w:firstLine="420" w:firstLineChars="200"/>
        <w:rPr>
          <w:rFonts w:ascii="宋体" w:hAnsi="宋体" w:eastAsia="宋体" w:cs="宋体"/>
          <w:bCs/>
          <w:color w:val="000000"/>
          <w:szCs w:val="21"/>
        </w:rPr>
      </w:pPr>
      <w:r>
        <w:rPr>
          <w:rFonts w:hint="eastAsia" w:ascii="宋体" w:hAnsi="宋体" w:eastAsia="宋体" w:cs="宋体"/>
          <w:bCs/>
          <w:color w:val="000000"/>
          <w:szCs w:val="21"/>
          <w:lang w:bidi="ar"/>
        </w:rPr>
        <w:t>（1）</w:t>
      </w:r>
      <w:r>
        <w:rPr>
          <w:rFonts w:hint="eastAsia" w:ascii="宋体" w:hAnsi="宋体" w:eastAsia="宋体" w:cs="宋体"/>
          <w:color w:val="000000"/>
          <w:szCs w:val="21"/>
          <w:lang w:bidi="ar"/>
        </w:rPr>
        <w:t>磋商响应表（格式见附件）</w:t>
      </w:r>
      <w:r>
        <w:rPr>
          <w:rFonts w:hint="eastAsia" w:ascii="宋体" w:hAnsi="宋体" w:eastAsia="宋体" w:cs="宋体"/>
          <w:bCs/>
          <w:color w:val="000000"/>
          <w:szCs w:val="21"/>
          <w:lang w:bidi="ar"/>
        </w:rPr>
        <w:t>；</w:t>
      </w:r>
    </w:p>
    <w:p w14:paraId="6A122968">
      <w:pPr>
        <w:spacing w:line="400" w:lineRule="exact"/>
        <w:ind w:firstLine="420" w:firstLineChars="200"/>
        <w:rPr>
          <w:rFonts w:ascii="宋体" w:hAnsi="宋体" w:eastAsia="宋体" w:cs="宋体"/>
          <w:bCs/>
          <w:color w:val="000000"/>
          <w:szCs w:val="21"/>
          <w:lang w:bidi="ar"/>
        </w:rPr>
      </w:pPr>
      <w:r>
        <w:rPr>
          <w:rFonts w:hint="eastAsia" w:ascii="宋体" w:hAnsi="宋体" w:eastAsia="宋体" w:cs="宋体"/>
          <w:bCs/>
          <w:color w:val="000000"/>
          <w:szCs w:val="21"/>
          <w:lang w:bidi="ar"/>
        </w:rPr>
        <w:t>（2）诚信履约承诺函（格式见附件）</w:t>
      </w:r>
    </w:p>
    <w:p w14:paraId="43C45DB6">
      <w:pPr>
        <w:spacing w:line="400" w:lineRule="exact"/>
        <w:ind w:firstLine="420" w:firstLineChars="200"/>
        <w:rPr>
          <w:rFonts w:ascii="宋体" w:hAnsi="宋体" w:eastAsia="宋体" w:cs="宋体"/>
          <w:bCs/>
          <w:color w:val="000000"/>
          <w:szCs w:val="21"/>
          <w:lang w:bidi="ar"/>
        </w:rPr>
      </w:pPr>
      <w:r>
        <w:rPr>
          <w:rFonts w:hint="eastAsia" w:ascii="宋体" w:hAnsi="宋体" w:eastAsia="宋体" w:cs="宋体"/>
          <w:bCs/>
          <w:color w:val="000000"/>
          <w:szCs w:val="21"/>
          <w:lang w:bidi="ar"/>
        </w:rPr>
        <w:t>（3）磋商文件技术标评审中要求提交的其他材料；</w:t>
      </w:r>
    </w:p>
    <w:p w14:paraId="3D8482A4">
      <w:pPr>
        <w:spacing w:line="400" w:lineRule="exact"/>
        <w:ind w:firstLine="420" w:firstLineChars="200"/>
        <w:rPr>
          <w:rFonts w:ascii="宋体" w:hAnsi="宋体" w:eastAsia="宋体" w:cs="宋体"/>
          <w:bCs/>
          <w:color w:val="000000"/>
          <w:szCs w:val="21"/>
          <w:lang w:bidi="ar"/>
        </w:rPr>
      </w:pPr>
      <w:r>
        <w:rPr>
          <w:rFonts w:hint="eastAsia" w:ascii="宋体" w:hAnsi="宋体" w:eastAsia="宋体" w:cs="宋体"/>
          <w:bCs/>
          <w:color w:val="000000"/>
          <w:szCs w:val="21"/>
          <w:lang w:bidi="ar"/>
        </w:rPr>
        <w:t>（4）磋商文件中要求的技术标评审及技术标评分的支持资料；</w:t>
      </w:r>
    </w:p>
    <w:p w14:paraId="30A7BFB3">
      <w:pPr>
        <w:spacing w:line="400" w:lineRule="exact"/>
        <w:ind w:firstLine="420" w:firstLineChars="200"/>
        <w:rPr>
          <w:rFonts w:ascii="宋体" w:hAnsi="宋体" w:eastAsia="宋体" w:cs="宋体"/>
          <w:bCs/>
          <w:color w:val="000000"/>
          <w:szCs w:val="21"/>
          <w:lang w:bidi="ar"/>
        </w:rPr>
      </w:pPr>
      <w:r>
        <w:rPr>
          <w:rFonts w:hint="eastAsia" w:ascii="宋体" w:hAnsi="宋体" w:eastAsia="宋体" w:cs="宋体"/>
          <w:bCs/>
          <w:color w:val="000000"/>
          <w:szCs w:val="21"/>
          <w:lang w:bidi="ar"/>
        </w:rPr>
        <w:t>（5）供应商认为需要提供的其他技术证明材料；</w:t>
      </w:r>
    </w:p>
    <w:p w14:paraId="420D21BE">
      <w:pPr>
        <w:spacing w:line="400" w:lineRule="exact"/>
        <w:ind w:firstLine="420" w:firstLineChars="200"/>
        <w:rPr>
          <w:rFonts w:ascii="宋体" w:hAnsi="宋体" w:eastAsia="宋体" w:cs="宋体"/>
          <w:bCs/>
          <w:color w:val="000000"/>
          <w:szCs w:val="21"/>
          <w:lang w:bidi="ar"/>
        </w:rPr>
      </w:pPr>
      <w:r>
        <w:rPr>
          <w:rFonts w:hint="eastAsia" w:ascii="宋体" w:hAnsi="宋体" w:eastAsia="宋体" w:cs="宋体"/>
          <w:bCs/>
          <w:color w:val="000000"/>
          <w:szCs w:val="21"/>
          <w:lang w:bidi="ar"/>
        </w:rPr>
        <w:t>（6）其他（如有）。</w:t>
      </w:r>
    </w:p>
    <w:p w14:paraId="1146453A">
      <w:pPr>
        <w:widowControl/>
        <w:jc w:val="left"/>
        <w:rPr>
          <w:rFonts w:asciiTheme="minorEastAsia" w:hAnsiTheme="minorEastAsia" w:eastAsiaTheme="minorEastAsia"/>
          <w:b/>
          <w:sz w:val="24"/>
        </w:rPr>
      </w:pPr>
      <w:bookmarkStart w:id="241" w:name="_Toc28033"/>
      <w:bookmarkStart w:id="242" w:name="_Toc22233"/>
      <w:r>
        <w:rPr>
          <w:rFonts w:asciiTheme="minorEastAsia" w:hAnsiTheme="minorEastAsia" w:eastAsiaTheme="minorEastAsia"/>
          <w:b/>
          <w:sz w:val="24"/>
        </w:rPr>
        <w:br w:type="page"/>
      </w:r>
    </w:p>
    <w:p w14:paraId="17C306CF">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（1）磋商响应表</w:t>
      </w:r>
      <w:bookmarkEnd w:id="241"/>
      <w:bookmarkEnd w:id="242"/>
    </w:p>
    <w:p w14:paraId="1201E509">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.1</w:t>
      </w:r>
      <w:r>
        <w:rPr>
          <w:rFonts w:hint="eastAsia" w:asciiTheme="minorEastAsia" w:hAnsiTheme="minorEastAsia" w:eastAsiaTheme="minorEastAsia"/>
          <w:b/>
          <w:sz w:val="24"/>
        </w:rPr>
        <w:t>商务响应表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3495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2C8FCB43">
            <w:pPr>
              <w:pStyle w:val="14"/>
              <w:jc w:val="center"/>
              <w:rPr>
                <w:rFonts w:cs="Wingdings" w:asciiTheme="minorEastAsia" w:hAnsiTheme="minorEastAsia"/>
                <w:b/>
                <w:sz w:val="24"/>
              </w:rPr>
            </w:pPr>
            <w:r>
              <w:rPr>
                <w:rFonts w:hint="eastAsia" w:cs="Wingdings" w:asciiTheme="minorEastAsia" w:hAnsiTheme="minorEastAsia"/>
                <w:b/>
                <w:sz w:val="24"/>
              </w:rPr>
              <w:t>序号</w:t>
            </w:r>
          </w:p>
        </w:tc>
        <w:tc>
          <w:tcPr>
            <w:tcW w:w="1124" w:type="pct"/>
            <w:vAlign w:val="center"/>
          </w:tcPr>
          <w:p w14:paraId="767400D6">
            <w:pPr>
              <w:pStyle w:val="14"/>
              <w:jc w:val="center"/>
              <w:rPr>
                <w:rFonts w:cs="Wingdings" w:asciiTheme="minorEastAsia" w:hAnsiTheme="minorEastAsia"/>
                <w:b/>
                <w:sz w:val="24"/>
              </w:rPr>
            </w:pPr>
            <w:r>
              <w:rPr>
                <w:rFonts w:hint="eastAsia" w:asciiTheme="minorEastAsia" w:hAnsiTheme="minorEastAsia"/>
                <w:b/>
                <w:bCs/>
                <w:sz w:val="24"/>
                <w:szCs w:val="24"/>
              </w:rPr>
              <w:t>商务条款</w:t>
            </w:r>
          </w:p>
        </w:tc>
        <w:tc>
          <w:tcPr>
            <w:tcW w:w="1465" w:type="pct"/>
            <w:vAlign w:val="center"/>
          </w:tcPr>
          <w:p w14:paraId="78F68378">
            <w:pPr>
              <w:pStyle w:val="14"/>
              <w:jc w:val="center"/>
              <w:rPr>
                <w:rFonts w:cs="Wingdings" w:asciiTheme="minorEastAsia" w:hAnsiTheme="minorEastAsia"/>
                <w:b/>
                <w:sz w:val="24"/>
              </w:rPr>
            </w:pPr>
            <w:r>
              <w:rPr>
                <w:rFonts w:hint="eastAsia" w:cs="Wingdings" w:asciiTheme="minorEastAsia" w:hAnsiTheme="minorEastAsia"/>
                <w:b/>
                <w:sz w:val="24"/>
              </w:rPr>
              <w:t>磋商文件要求</w:t>
            </w:r>
          </w:p>
        </w:tc>
        <w:tc>
          <w:tcPr>
            <w:tcW w:w="1510" w:type="pct"/>
            <w:vAlign w:val="center"/>
          </w:tcPr>
          <w:p w14:paraId="6A329927">
            <w:pPr>
              <w:pStyle w:val="14"/>
              <w:jc w:val="center"/>
              <w:rPr>
                <w:rFonts w:cs="Wingdings" w:asciiTheme="minorEastAsia" w:hAnsiTheme="minorEastAsia"/>
                <w:b/>
                <w:sz w:val="24"/>
              </w:rPr>
            </w:pPr>
            <w:r>
              <w:rPr>
                <w:rFonts w:hint="eastAsia" w:cs="Wingdings" w:asciiTheme="minorEastAsia" w:hAnsiTheme="minorEastAsia"/>
                <w:b/>
                <w:sz w:val="24"/>
              </w:rPr>
              <w:t>供应商承诺</w:t>
            </w:r>
          </w:p>
        </w:tc>
        <w:tc>
          <w:tcPr>
            <w:tcW w:w="475" w:type="pct"/>
            <w:vAlign w:val="center"/>
          </w:tcPr>
          <w:p w14:paraId="67D56C89">
            <w:pPr>
              <w:pStyle w:val="14"/>
              <w:jc w:val="center"/>
              <w:rPr>
                <w:rFonts w:cs="Wingdings" w:asciiTheme="minorEastAsia" w:hAnsiTheme="minorEastAsia"/>
                <w:b/>
                <w:sz w:val="24"/>
              </w:rPr>
            </w:pPr>
            <w:r>
              <w:rPr>
                <w:rFonts w:hint="eastAsia" w:cs="Wingdings" w:asciiTheme="minorEastAsia" w:hAnsiTheme="minorEastAsia"/>
                <w:b/>
                <w:sz w:val="24"/>
              </w:rPr>
              <w:t>偏离说明</w:t>
            </w:r>
          </w:p>
        </w:tc>
      </w:tr>
      <w:tr w14:paraId="677B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8BFA1C4">
            <w:pPr>
              <w:jc w:val="center"/>
              <w:rPr>
                <w:rFonts w:asciiTheme="minorEastAsia" w:hAnsiTheme="minorEastAsia" w:eastAsiaTheme="minorEastAsia"/>
                <w:sz w:val="24"/>
              </w:rPr>
            </w:pPr>
            <w:r>
              <w:rPr>
                <w:rFonts w:asciiTheme="minorEastAsia" w:hAnsiTheme="minorEastAsia" w:eastAsiaTheme="minorEastAsia"/>
                <w:sz w:val="24"/>
              </w:rPr>
              <w:t>1</w:t>
            </w:r>
          </w:p>
        </w:tc>
        <w:tc>
          <w:tcPr>
            <w:tcW w:w="1124" w:type="pct"/>
            <w:vAlign w:val="center"/>
          </w:tcPr>
          <w:p w14:paraId="4CFC8C1C">
            <w:pPr>
              <w:jc w:val="center"/>
              <w:rPr>
                <w:rFonts w:ascii="宋体" w:hAnsi="宋体" w:eastAsia="宋体"/>
                <w:sz w:val="24"/>
              </w:rPr>
            </w:pPr>
            <w:r>
              <w:rPr>
                <w:rFonts w:asciiTheme="minorEastAsia" w:hAnsiTheme="minorEastAsia" w:eastAsiaTheme="minorEastAsia"/>
                <w:sz w:val="24"/>
              </w:rPr>
              <w:t>付款方式</w:t>
            </w:r>
          </w:p>
        </w:tc>
        <w:tc>
          <w:tcPr>
            <w:tcW w:w="1465" w:type="pct"/>
            <w:vAlign w:val="center"/>
          </w:tcPr>
          <w:p w14:paraId="2A62E5C8">
            <w:pPr>
              <w:jc w:val="center"/>
              <w:rPr>
                <w:rFonts w:asciiTheme="minorEastAsia" w:hAnsiTheme="minorEastAsia" w:eastAsiaTheme="minorEastAsia"/>
                <w:sz w:val="24"/>
              </w:rPr>
            </w:pPr>
          </w:p>
        </w:tc>
        <w:tc>
          <w:tcPr>
            <w:tcW w:w="1510" w:type="pct"/>
            <w:vAlign w:val="center"/>
          </w:tcPr>
          <w:p w14:paraId="330231BD">
            <w:pPr>
              <w:jc w:val="center"/>
              <w:rPr>
                <w:rFonts w:asciiTheme="minorEastAsia" w:hAnsiTheme="minorEastAsia" w:eastAsiaTheme="minorEastAsia"/>
                <w:sz w:val="24"/>
              </w:rPr>
            </w:pPr>
          </w:p>
        </w:tc>
        <w:tc>
          <w:tcPr>
            <w:tcW w:w="475" w:type="pct"/>
            <w:vAlign w:val="center"/>
          </w:tcPr>
          <w:p w14:paraId="36C99A1E">
            <w:pPr>
              <w:jc w:val="center"/>
              <w:rPr>
                <w:rFonts w:asciiTheme="minorEastAsia" w:hAnsiTheme="minorEastAsia" w:eastAsiaTheme="minorEastAsia"/>
                <w:sz w:val="24"/>
              </w:rPr>
            </w:pPr>
          </w:p>
        </w:tc>
      </w:tr>
      <w:tr w14:paraId="62D5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5848793">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124" w:type="pct"/>
            <w:vAlign w:val="center"/>
          </w:tcPr>
          <w:p w14:paraId="674035C8">
            <w:pPr>
              <w:jc w:val="center"/>
              <w:rPr>
                <w:rFonts w:ascii="宋体" w:hAnsi="宋体" w:eastAsia="宋体"/>
                <w:sz w:val="24"/>
              </w:rPr>
            </w:pPr>
            <w:r>
              <w:rPr>
                <w:rFonts w:hint="eastAsia" w:ascii="宋体" w:hAnsi="宋体" w:eastAsia="宋体"/>
                <w:sz w:val="24"/>
              </w:rPr>
              <w:t>服务地点</w:t>
            </w:r>
          </w:p>
        </w:tc>
        <w:tc>
          <w:tcPr>
            <w:tcW w:w="1465" w:type="pct"/>
            <w:vAlign w:val="center"/>
          </w:tcPr>
          <w:p w14:paraId="58A57824">
            <w:pPr>
              <w:jc w:val="center"/>
              <w:rPr>
                <w:rFonts w:asciiTheme="minorEastAsia" w:hAnsiTheme="minorEastAsia" w:eastAsiaTheme="minorEastAsia"/>
                <w:sz w:val="24"/>
              </w:rPr>
            </w:pPr>
          </w:p>
        </w:tc>
        <w:tc>
          <w:tcPr>
            <w:tcW w:w="1510" w:type="pct"/>
            <w:vAlign w:val="center"/>
          </w:tcPr>
          <w:p w14:paraId="6AE9CCED">
            <w:pPr>
              <w:jc w:val="center"/>
              <w:rPr>
                <w:rFonts w:asciiTheme="minorEastAsia" w:hAnsiTheme="minorEastAsia" w:eastAsiaTheme="minorEastAsia"/>
                <w:sz w:val="24"/>
              </w:rPr>
            </w:pPr>
          </w:p>
        </w:tc>
        <w:tc>
          <w:tcPr>
            <w:tcW w:w="475" w:type="pct"/>
            <w:vAlign w:val="center"/>
          </w:tcPr>
          <w:p w14:paraId="6EA5EEE1">
            <w:pPr>
              <w:jc w:val="center"/>
              <w:rPr>
                <w:rFonts w:asciiTheme="minorEastAsia" w:hAnsiTheme="minorEastAsia" w:eastAsiaTheme="minorEastAsia"/>
                <w:sz w:val="24"/>
              </w:rPr>
            </w:pPr>
          </w:p>
        </w:tc>
      </w:tr>
      <w:tr w14:paraId="0B85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4AF8255">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124" w:type="pct"/>
            <w:vAlign w:val="center"/>
          </w:tcPr>
          <w:p w14:paraId="489CB5F3">
            <w:pPr>
              <w:jc w:val="center"/>
              <w:rPr>
                <w:rFonts w:ascii="宋体" w:hAnsi="宋体" w:eastAsia="宋体"/>
                <w:sz w:val="24"/>
              </w:rPr>
            </w:pPr>
            <w:r>
              <w:rPr>
                <w:rFonts w:hint="eastAsia" w:ascii="宋体" w:hAnsi="宋体" w:eastAsia="宋体"/>
                <w:sz w:val="24"/>
              </w:rPr>
              <w:t>服务期限</w:t>
            </w:r>
          </w:p>
        </w:tc>
        <w:tc>
          <w:tcPr>
            <w:tcW w:w="1465" w:type="pct"/>
            <w:vAlign w:val="center"/>
          </w:tcPr>
          <w:p w14:paraId="5FEE6485">
            <w:pPr>
              <w:jc w:val="center"/>
              <w:rPr>
                <w:rFonts w:asciiTheme="minorEastAsia" w:hAnsiTheme="minorEastAsia" w:eastAsiaTheme="minorEastAsia"/>
                <w:sz w:val="24"/>
              </w:rPr>
            </w:pPr>
          </w:p>
        </w:tc>
        <w:tc>
          <w:tcPr>
            <w:tcW w:w="1510" w:type="pct"/>
            <w:vAlign w:val="center"/>
          </w:tcPr>
          <w:p w14:paraId="57AB49B1">
            <w:pPr>
              <w:pStyle w:val="55"/>
              <w:jc w:val="center"/>
              <w:rPr>
                <w:rFonts w:asciiTheme="minorEastAsia" w:hAnsiTheme="minorEastAsia" w:eastAsiaTheme="minorEastAsia"/>
              </w:rPr>
            </w:pPr>
          </w:p>
        </w:tc>
        <w:tc>
          <w:tcPr>
            <w:tcW w:w="475" w:type="pct"/>
            <w:vAlign w:val="center"/>
          </w:tcPr>
          <w:p w14:paraId="396220F8">
            <w:pPr>
              <w:jc w:val="center"/>
              <w:rPr>
                <w:rFonts w:asciiTheme="minorEastAsia" w:hAnsiTheme="minorEastAsia" w:eastAsiaTheme="minorEastAsia"/>
                <w:sz w:val="24"/>
              </w:rPr>
            </w:pPr>
          </w:p>
        </w:tc>
      </w:tr>
      <w:tr w14:paraId="487D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C22D523">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124" w:type="pct"/>
            <w:vAlign w:val="center"/>
          </w:tcPr>
          <w:p w14:paraId="057DD486">
            <w:pPr>
              <w:jc w:val="center"/>
              <w:rPr>
                <w:rFonts w:ascii="宋体" w:hAnsi="宋体" w:eastAsia="宋体"/>
                <w:sz w:val="24"/>
              </w:rPr>
            </w:pPr>
          </w:p>
        </w:tc>
        <w:tc>
          <w:tcPr>
            <w:tcW w:w="1465" w:type="pct"/>
            <w:vAlign w:val="center"/>
          </w:tcPr>
          <w:p w14:paraId="60520AD5">
            <w:pPr>
              <w:jc w:val="center"/>
              <w:rPr>
                <w:rFonts w:asciiTheme="minorEastAsia" w:hAnsiTheme="minorEastAsia" w:eastAsiaTheme="minorEastAsia"/>
                <w:sz w:val="24"/>
              </w:rPr>
            </w:pPr>
          </w:p>
        </w:tc>
        <w:tc>
          <w:tcPr>
            <w:tcW w:w="1510" w:type="pct"/>
            <w:vAlign w:val="center"/>
          </w:tcPr>
          <w:p w14:paraId="6040639B">
            <w:pPr>
              <w:jc w:val="center"/>
              <w:rPr>
                <w:rFonts w:asciiTheme="minorEastAsia" w:hAnsiTheme="minorEastAsia" w:eastAsiaTheme="minorEastAsia"/>
                <w:sz w:val="24"/>
              </w:rPr>
            </w:pPr>
          </w:p>
        </w:tc>
        <w:tc>
          <w:tcPr>
            <w:tcW w:w="475" w:type="pct"/>
            <w:vAlign w:val="center"/>
          </w:tcPr>
          <w:p w14:paraId="2B850D97">
            <w:pPr>
              <w:jc w:val="center"/>
              <w:rPr>
                <w:rFonts w:asciiTheme="minorEastAsia" w:hAnsiTheme="minorEastAsia" w:eastAsiaTheme="minorEastAsia"/>
                <w:sz w:val="24"/>
              </w:rPr>
            </w:pPr>
          </w:p>
        </w:tc>
      </w:tr>
    </w:tbl>
    <w:p w14:paraId="63556544">
      <w:pPr>
        <w:pStyle w:val="43"/>
        <w:ind w:firstLine="480"/>
      </w:pPr>
      <w:bookmarkStart w:id="243" w:name="_Toc2278"/>
      <w:bookmarkStart w:id="244" w:name="_Toc20592"/>
      <w:r>
        <w:br w:type="page"/>
      </w:r>
    </w:p>
    <w:p w14:paraId="7BFCC1FB">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（2）诚信履约承诺函</w:t>
      </w:r>
      <w:bookmarkEnd w:id="243"/>
      <w:bookmarkEnd w:id="244"/>
    </w:p>
    <w:p w14:paraId="718F759E">
      <w:pPr>
        <w:spacing w:line="360" w:lineRule="auto"/>
        <w:rPr>
          <w:rFonts w:asciiTheme="minorEastAsia" w:hAnsiTheme="minorEastAsia" w:eastAsiaTheme="minorEastAsia"/>
          <w:b/>
          <w:bCs/>
          <w:sz w:val="24"/>
        </w:rPr>
      </w:pPr>
    </w:p>
    <w:p w14:paraId="05420E1C">
      <w:pPr>
        <w:spacing w:line="360" w:lineRule="auto"/>
        <w:rPr>
          <w:rFonts w:asciiTheme="minorEastAsia" w:hAnsiTheme="minorEastAsia" w:eastAsiaTheme="minorEastAsia"/>
          <w:b/>
          <w:bCs/>
          <w:sz w:val="24"/>
          <w:u w:val="single"/>
        </w:rPr>
      </w:pPr>
      <w:r>
        <w:rPr>
          <w:rFonts w:hint="eastAsia" w:asciiTheme="minorEastAsia" w:hAnsiTheme="minorEastAsia" w:eastAsiaTheme="minorEastAsia"/>
          <w:b/>
          <w:bCs/>
          <w:sz w:val="24"/>
        </w:rPr>
        <w:t>致：</w:t>
      </w:r>
      <w:r>
        <w:rPr>
          <w:rFonts w:hint="eastAsia" w:cs="宋体" w:asciiTheme="minorEastAsia" w:hAnsiTheme="minorEastAsia" w:eastAsiaTheme="minorEastAsia"/>
          <w:b/>
          <w:sz w:val="24"/>
          <w:szCs w:val="24"/>
          <w:u w:val="single"/>
        </w:rPr>
        <w:t>滁州市科学技术馆</w:t>
      </w:r>
    </w:p>
    <w:p w14:paraId="49458789">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7361CFB1">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（1）中标或者成交后无正当理由拒不与采购人签订政府采购合同；</w:t>
      </w:r>
    </w:p>
    <w:p w14:paraId="36193613">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（2）未按照采购文件确定的事项签订政府采购合同；</w:t>
      </w:r>
    </w:p>
    <w:p w14:paraId="38BEC55A">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（3）将政府采购合同转包；</w:t>
      </w:r>
    </w:p>
    <w:p w14:paraId="7D504616">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（4）提供假冒伪劣产品；</w:t>
      </w:r>
    </w:p>
    <w:p w14:paraId="520B98A8">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（5）擅自变更、中止或者终止政府采购合同。</w:t>
      </w:r>
    </w:p>
    <w:p w14:paraId="3769101E">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1FE2216">
      <w:pPr>
        <w:spacing w:line="360" w:lineRule="auto"/>
        <w:rPr>
          <w:rFonts w:asciiTheme="minorEastAsia" w:hAnsiTheme="minorEastAsia" w:eastAsiaTheme="minorEastAsia"/>
          <w:bCs/>
          <w:sz w:val="24"/>
        </w:rPr>
      </w:pPr>
    </w:p>
    <w:p w14:paraId="783BD0E2">
      <w:pPr>
        <w:spacing w:line="360" w:lineRule="auto"/>
        <w:rPr>
          <w:rFonts w:asciiTheme="minorEastAsia" w:hAnsiTheme="minorEastAsia" w:eastAsiaTheme="minorEastAsia"/>
          <w:bCs/>
          <w:sz w:val="24"/>
        </w:rPr>
      </w:pPr>
    </w:p>
    <w:p w14:paraId="2E3ACAC9">
      <w:pPr>
        <w:spacing w:line="360" w:lineRule="auto"/>
        <w:ind w:firstLine="4320" w:firstLineChars="1800"/>
        <w:rPr>
          <w:rFonts w:asciiTheme="minorEastAsia" w:hAnsiTheme="minorEastAsia" w:eastAsiaTheme="minorEastAsia"/>
          <w:bCs/>
          <w:sz w:val="24"/>
          <w:u w:val="single"/>
        </w:rPr>
      </w:pPr>
      <w:r>
        <w:rPr>
          <w:rFonts w:hint="eastAsia" w:asciiTheme="minorEastAsia" w:hAnsiTheme="minorEastAsia" w:eastAsiaTheme="minorEastAsia"/>
          <w:bCs/>
          <w:sz w:val="24"/>
        </w:rPr>
        <w:t>供应商盖公章：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5044246F">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4B2DB50B">
      <w:pPr>
        <w:widowControl/>
        <w:jc w:val="left"/>
        <w:rPr>
          <w:rFonts w:ascii="宋体" w:hAnsi="宋体" w:eastAsia="宋体" w:cs="宋体"/>
          <w:b/>
          <w:sz w:val="32"/>
          <w:szCs w:val="32"/>
        </w:rPr>
      </w:pPr>
      <w:r>
        <w:rPr>
          <w:rFonts w:ascii="宋体" w:hAnsi="宋体" w:eastAsia="宋体" w:cs="宋体"/>
          <w:b/>
          <w:sz w:val="32"/>
          <w:szCs w:val="32"/>
        </w:rPr>
        <w:br w:type="page"/>
      </w:r>
    </w:p>
    <w:p w14:paraId="582D1FE5">
      <w:pPr>
        <w:jc w:val="left"/>
        <w:rPr>
          <w:rFonts w:ascii="宋体" w:hAnsi="宋体" w:eastAsia="宋体" w:cs="宋体"/>
          <w:b/>
          <w:sz w:val="32"/>
          <w:szCs w:val="32"/>
        </w:rPr>
      </w:pPr>
      <w:r>
        <w:rPr>
          <w:rFonts w:hint="eastAsia" w:ascii="宋体" w:hAnsi="宋体" w:eastAsia="宋体" w:cs="宋体"/>
          <w:b/>
          <w:sz w:val="32"/>
          <w:szCs w:val="32"/>
        </w:rPr>
        <w:t>三、商务标格式文件</w:t>
      </w:r>
    </w:p>
    <w:p w14:paraId="1FA0AAFB">
      <w:pPr>
        <w:jc w:val="center"/>
        <w:rPr>
          <w:rFonts w:ascii="宋体" w:hAnsi="宋体" w:eastAsia="宋体" w:cs="宋体"/>
          <w:b/>
          <w:sz w:val="24"/>
          <w:szCs w:val="24"/>
        </w:rPr>
      </w:pPr>
    </w:p>
    <w:p w14:paraId="28084BF2">
      <w:pPr>
        <w:jc w:val="center"/>
        <w:rPr>
          <w:rFonts w:ascii="宋体" w:hAnsi="宋体" w:eastAsia="宋体" w:cs="宋体"/>
          <w:b/>
          <w:sz w:val="24"/>
          <w:szCs w:val="24"/>
        </w:rPr>
      </w:pPr>
    </w:p>
    <w:p w14:paraId="4219D356">
      <w:pPr>
        <w:rPr>
          <w:rFonts w:ascii="宋体" w:hAnsi="宋体" w:eastAsia="宋体" w:cs="宋体"/>
          <w:b/>
          <w:sz w:val="24"/>
          <w:szCs w:val="24"/>
        </w:rPr>
      </w:pPr>
    </w:p>
    <w:p w14:paraId="1E769EDC">
      <w:pPr>
        <w:rPr>
          <w:rFonts w:ascii="宋体" w:hAnsi="宋体" w:eastAsia="宋体" w:cs="宋体"/>
          <w:b/>
          <w:sz w:val="24"/>
          <w:szCs w:val="24"/>
        </w:rPr>
      </w:pPr>
    </w:p>
    <w:p w14:paraId="347F247D">
      <w:pPr>
        <w:rPr>
          <w:rFonts w:ascii="宋体" w:hAnsi="宋体" w:eastAsia="宋体" w:cs="宋体"/>
          <w:b/>
          <w:sz w:val="24"/>
          <w:szCs w:val="24"/>
        </w:rPr>
      </w:pPr>
    </w:p>
    <w:p w14:paraId="09C54EF9">
      <w:pPr>
        <w:jc w:val="center"/>
        <w:rPr>
          <w:rFonts w:ascii="宋体" w:hAnsi="宋体" w:eastAsia="宋体" w:cs="宋体"/>
          <w:bCs/>
          <w:sz w:val="44"/>
          <w:szCs w:val="44"/>
        </w:rPr>
      </w:pPr>
      <w:r>
        <w:rPr>
          <w:rFonts w:hint="eastAsia" w:ascii="宋体" w:hAnsi="宋体" w:eastAsia="宋体" w:cs="宋体"/>
          <w:bCs/>
          <w:sz w:val="44"/>
          <w:szCs w:val="44"/>
        </w:rPr>
        <w:t xml:space="preserve">商务标 </w:t>
      </w:r>
    </w:p>
    <w:p w14:paraId="7DAC088D">
      <w:pPr>
        <w:jc w:val="center"/>
        <w:rPr>
          <w:rFonts w:ascii="宋体" w:hAnsi="宋体" w:eastAsia="宋体" w:cs="宋体"/>
          <w:bCs/>
          <w:sz w:val="28"/>
          <w:szCs w:val="28"/>
        </w:rPr>
      </w:pPr>
      <w:r>
        <w:rPr>
          <w:rFonts w:hint="eastAsia" w:ascii="宋体" w:hAnsi="宋体" w:eastAsia="宋体" w:cs="宋体"/>
          <w:bCs/>
          <w:sz w:val="28"/>
          <w:szCs w:val="28"/>
        </w:rPr>
        <w:t>（响应文件三）</w:t>
      </w:r>
    </w:p>
    <w:p w14:paraId="2A6F10DC">
      <w:pPr>
        <w:jc w:val="center"/>
        <w:rPr>
          <w:rFonts w:ascii="宋体" w:hAnsi="宋体" w:eastAsia="宋体" w:cs="宋体"/>
          <w:bCs/>
          <w:sz w:val="28"/>
          <w:szCs w:val="28"/>
        </w:rPr>
      </w:pPr>
    </w:p>
    <w:p w14:paraId="0037CE65">
      <w:pPr>
        <w:jc w:val="center"/>
        <w:rPr>
          <w:rFonts w:ascii="宋体" w:hAnsi="宋体" w:eastAsia="宋体" w:cs="宋体"/>
          <w:sz w:val="32"/>
          <w:szCs w:val="32"/>
        </w:rPr>
      </w:pPr>
      <w:r>
        <w:rPr>
          <w:rFonts w:hint="eastAsia" w:ascii="宋体" w:hAnsi="宋体" w:eastAsia="宋体" w:cs="宋体"/>
          <w:sz w:val="32"/>
          <w:szCs w:val="32"/>
          <w:u w:val="single"/>
        </w:rPr>
        <w:t xml:space="preserve">        </w:t>
      </w:r>
      <w:r>
        <w:rPr>
          <w:rFonts w:hint="eastAsia" w:ascii="宋体" w:hAnsi="宋体" w:eastAsia="宋体" w:cs="宋体"/>
          <w:sz w:val="32"/>
          <w:szCs w:val="32"/>
        </w:rPr>
        <w:t>项目</w:t>
      </w:r>
    </w:p>
    <w:p w14:paraId="581A6AEA">
      <w:pPr>
        <w:jc w:val="center"/>
        <w:rPr>
          <w:rFonts w:ascii="宋体" w:hAnsi="宋体" w:eastAsia="宋体" w:cs="宋体"/>
          <w:sz w:val="44"/>
          <w:szCs w:val="44"/>
        </w:rPr>
      </w:pPr>
      <w:r>
        <w:rPr>
          <w:rFonts w:hint="eastAsia" w:ascii="宋体" w:hAnsi="宋体" w:eastAsia="宋体" w:cs="宋体"/>
          <w:sz w:val="28"/>
          <w:szCs w:val="28"/>
        </w:rPr>
        <w:t>项目编号：</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   </w:t>
      </w:r>
    </w:p>
    <w:p w14:paraId="2E70607A">
      <w:pPr>
        <w:rPr>
          <w:rFonts w:ascii="宋体" w:hAnsi="宋体" w:eastAsia="宋体" w:cs="宋体"/>
          <w:bCs/>
          <w:sz w:val="24"/>
          <w:szCs w:val="24"/>
        </w:rPr>
      </w:pPr>
    </w:p>
    <w:p w14:paraId="3476840A">
      <w:pPr>
        <w:rPr>
          <w:rFonts w:ascii="宋体" w:hAnsi="宋体" w:eastAsia="宋体" w:cs="宋体"/>
          <w:bCs/>
          <w:sz w:val="24"/>
          <w:szCs w:val="24"/>
        </w:rPr>
      </w:pPr>
    </w:p>
    <w:p w14:paraId="15C36E74">
      <w:pPr>
        <w:rPr>
          <w:rFonts w:ascii="宋体" w:hAnsi="宋体" w:eastAsia="宋体" w:cs="宋体"/>
          <w:bCs/>
          <w:sz w:val="24"/>
          <w:szCs w:val="24"/>
        </w:rPr>
      </w:pPr>
    </w:p>
    <w:p w14:paraId="4E26DE3D">
      <w:pPr>
        <w:rPr>
          <w:rFonts w:ascii="宋体" w:hAnsi="宋体" w:eastAsia="宋体" w:cs="宋体"/>
          <w:bCs/>
          <w:sz w:val="24"/>
          <w:szCs w:val="24"/>
        </w:rPr>
      </w:pPr>
    </w:p>
    <w:p w14:paraId="022ED6C9">
      <w:pPr>
        <w:rPr>
          <w:rFonts w:ascii="宋体" w:hAnsi="宋体" w:eastAsia="宋体" w:cs="宋体"/>
          <w:bCs/>
          <w:sz w:val="24"/>
          <w:szCs w:val="24"/>
        </w:rPr>
      </w:pPr>
    </w:p>
    <w:p w14:paraId="067DE807">
      <w:pPr>
        <w:rPr>
          <w:rFonts w:ascii="宋体" w:hAnsi="宋体" w:eastAsia="宋体" w:cs="宋体"/>
          <w:bCs/>
          <w:sz w:val="24"/>
          <w:szCs w:val="24"/>
        </w:rPr>
      </w:pPr>
    </w:p>
    <w:p w14:paraId="06D9DD6F">
      <w:pPr>
        <w:rPr>
          <w:rFonts w:ascii="宋体" w:hAnsi="宋体" w:eastAsia="宋体" w:cs="宋体"/>
          <w:bCs/>
          <w:sz w:val="24"/>
          <w:szCs w:val="24"/>
        </w:rPr>
      </w:pPr>
    </w:p>
    <w:p w14:paraId="0F675DA5">
      <w:pPr>
        <w:rPr>
          <w:rFonts w:ascii="宋体" w:hAnsi="宋体" w:eastAsia="宋体" w:cs="宋体"/>
          <w:bCs/>
          <w:sz w:val="24"/>
          <w:szCs w:val="24"/>
        </w:rPr>
      </w:pPr>
    </w:p>
    <w:p w14:paraId="7D9485D5">
      <w:pPr>
        <w:rPr>
          <w:rFonts w:ascii="宋体" w:hAnsi="宋体" w:eastAsia="宋体" w:cs="宋体"/>
          <w:bCs/>
          <w:sz w:val="24"/>
          <w:szCs w:val="24"/>
        </w:rPr>
      </w:pPr>
    </w:p>
    <w:p w14:paraId="232FB040">
      <w:pPr>
        <w:rPr>
          <w:rFonts w:ascii="宋体" w:hAnsi="宋体" w:eastAsia="宋体" w:cs="宋体"/>
          <w:bCs/>
          <w:sz w:val="24"/>
          <w:szCs w:val="24"/>
        </w:rPr>
      </w:pPr>
    </w:p>
    <w:p w14:paraId="57CD6E05">
      <w:pPr>
        <w:rPr>
          <w:rFonts w:ascii="宋体" w:hAnsi="宋体" w:eastAsia="宋体" w:cs="宋体"/>
          <w:bCs/>
          <w:sz w:val="24"/>
          <w:szCs w:val="24"/>
        </w:rPr>
      </w:pPr>
    </w:p>
    <w:p w14:paraId="60EEAC2E">
      <w:pPr>
        <w:rPr>
          <w:rFonts w:ascii="宋体" w:hAnsi="宋体" w:eastAsia="宋体" w:cs="宋体"/>
        </w:rPr>
      </w:pPr>
    </w:p>
    <w:p w14:paraId="191C05D2">
      <w:pPr>
        <w:pStyle w:val="43"/>
        <w:ind w:firstLine="480"/>
      </w:pPr>
    </w:p>
    <w:p w14:paraId="0A4127CE">
      <w:pPr>
        <w:pStyle w:val="43"/>
        <w:ind w:firstLine="480"/>
      </w:pPr>
    </w:p>
    <w:p w14:paraId="7A07E128">
      <w:pPr>
        <w:pStyle w:val="43"/>
        <w:ind w:firstLine="480"/>
      </w:pPr>
    </w:p>
    <w:p w14:paraId="6A87B8DE">
      <w:pPr>
        <w:pStyle w:val="43"/>
        <w:ind w:firstLine="480"/>
      </w:pPr>
    </w:p>
    <w:p w14:paraId="072070EF">
      <w:pPr>
        <w:pStyle w:val="43"/>
        <w:ind w:firstLine="480"/>
      </w:pPr>
    </w:p>
    <w:p w14:paraId="264C7B36">
      <w:pPr>
        <w:pStyle w:val="43"/>
        <w:ind w:firstLine="480"/>
      </w:pPr>
    </w:p>
    <w:p w14:paraId="28965DB3">
      <w:pPr>
        <w:pStyle w:val="43"/>
        <w:ind w:firstLine="480"/>
      </w:pPr>
    </w:p>
    <w:p w14:paraId="1D42F38E">
      <w:pPr>
        <w:spacing w:line="360" w:lineRule="auto"/>
        <w:jc w:val="center"/>
        <w:rPr>
          <w:rFonts w:ascii="宋体" w:hAnsi="宋体" w:eastAsia="宋体" w:cs="宋体"/>
          <w:bCs/>
          <w:sz w:val="28"/>
          <w:szCs w:val="28"/>
          <w:u w:val="single"/>
        </w:rPr>
      </w:pPr>
      <w:r>
        <w:rPr>
          <w:rFonts w:hint="eastAsia" w:ascii="宋体" w:hAnsi="宋体" w:eastAsia="宋体" w:cs="宋体"/>
          <w:bCs/>
          <w:sz w:val="28"/>
          <w:szCs w:val="28"/>
        </w:rPr>
        <w:t>供应商：</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w:t>
      </w:r>
      <w:r>
        <w:rPr>
          <w:rFonts w:hint="eastAsia" w:ascii="宋体" w:hAnsi="宋体" w:eastAsia="宋体" w:cs="宋体"/>
          <w:bCs/>
          <w:sz w:val="28"/>
          <w:szCs w:val="28"/>
          <w:lang w:eastAsia="zh-CN"/>
        </w:rPr>
        <w:t>盖单位公</w:t>
      </w:r>
      <w:r>
        <w:rPr>
          <w:rFonts w:hint="eastAsia" w:ascii="宋体" w:hAnsi="宋体" w:eastAsia="宋体" w:cs="宋体"/>
          <w:bCs/>
          <w:sz w:val="28"/>
          <w:szCs w:val="28"/>
        </w:rPr>
        <w:t>章）</w:t>
      </w:r>
    </w:p>
    <w:p w14:paraId="18D6B73C">
      <w:pPr>
        <w:spacing w:line="360" w:lineRule="auto"/>
        <w:jc w:val="center"/>
        <w:rPr>
          <w:rFonts w:ascii="宋体" w:hAnsi="宋体" w:eastAsia="宋体" w:cs="宋体"/>
          <w:bCs/>
          <w:sz w:val="28"/>
          <w:szCs w:val="28"/>
        </w:rPr>
      </w:pPr>
      <w:r>
        <w:rPr>
          <w:rFonts w:hint="eastAsia" w:ascii="宋体" w:hAnsi="宋体" w:eastAsia="宋体" w:cs="宋体"/>
          <w:bCs/>
          <w:sz w:val="28"/>
          <w:szCs w:val="28"/>
        </w:rPr>
        <w:t>法定代表人：</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（签</w:t>
      </w:r>
      <w:r>
        <w:rPr>
          <w:rFonts w:hint="eastAsia" w:ascii="宋体" w:hAnsi="宋体" w:eastAsia="宋体" w:cs="宋体"/>
          <w:bCs/>
          <w:sz w:val="28"/>
          <w:szCs w:val="28"/>
          <w:lang w:eastAsia="zh-CN"/>
        </w:rPr>
        <w:t>字或盖</w:t>
      </w:r>
      <w:r>
        <w:rPr>
          <w:rFonts w:hint="eastAsia" w:ascii="宋体" w:hAnsi="宋体" w:eastAsia="宋体" w:cs="宋体"/>
          <w:bCs/>
          <w:sz w:val="28"/>
          <w:szCs w:val="28"/>
        </w:rPr>
        <w:t>章）</w:t>
      </w:r>
    </w:p>
    <w:p w14:paraId="6391B701">
      <w:pPr>
        <w:spacing w:line="360" w:lineRule="auto"/>
        <w:jc w:val="center"/>
        <w:rPr>
          <w:rFonts w:ascii="宋体" w:hAnsi="宋体" w:eastAsia="宋体" w:cs="宋体"/>
          <w:bCs/>
          <w:sz w:val="28"/>
          <w:szCs w:val="28"/>
        </w:rPr>
      </w:pPr>
      <w:r>
        <w:rPr>
          <w:rFonts w:hint="eastAsia" w:ascii="宋体" w:hAnsi="宋体" w:eastAsia="宋体" w:cs="宋体"/>
          <w:bCs/>
          <w:sz w:val="28"/>
          <w:szCs w:val="28"/>
          <w:u w:val="single"/>
        </w:rPr>
        <w:t xml:space="preserve">        </w:t>
      </w:r>
      <w:r>
        <w:rPr>
          <w:rFonts w:hint="eastAsia" w:ascii="宋体" w:hAnsi="宋体" w:eastAsia="宋体" w:cs="宋体"/>
          <w:bCs/>
          <w:sz w:val="28"/>
          <w:szCs w:val="28"/>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日</w:t>
      </w:r>
    </w:p>
    <w:p w14:paraId="08D1A6FC">
      <w:pPr>
        <w:spacing w:line="400" w:lineRule="exact"/>
        <w:ind w:firstLine="3379" w:firstLineChars="935"/>
        <w:jc w:val="left"/>
        <w:rPr>
          <w:rFonts w:ascii="宋体" w:hAnsi="宋体" w:eastAsia="宋体" w:cs="宋体"/>
          <w:b/>
          <w:color w:val="000000"/>
          <w:sz w:val="36"/>
          <w:szCs w:val="36"/>
        </w:rPr>
      </w:pPr>
      <w:r>
        <w:rPr>
          <w:rFonts w:hint="eastAsia" w:ascii="宋体" w:hAnsi="宋体" w:eastAsia="宋体" w:cs="宋体"/>
          <w:b/>
          <w:color w:val="000000"/>
          <w:sz w:val="36"/>
          <w:szCs w:val="36"/>
          <w:lang w:bidi="ar"/>
        </w:rPr>
        <w:t>目   录</w:t>
      </w:r>
    </w:p>
    <w:p w14:paraId="210F4A39">
      <w:pPr>
        <w:spacing w:line="400" w:lineRule="exact"/>
        <w:ind w:firstLine="4130" w:firstLineChars="935"/>
        <w:rPr>
          <w:rFonts w:ascii="宋体" w:hAnsi="宋体" w:eastAsia="宋体" w:cs="宋体"/>
          <w:b/>
          <w:color w:val="000000"/>
          <w:sz w:val="44"/>
          <w:szCs w:val="44"/>
        </w:rPr>
      </w:pPr>
      <w:r>
        <w:rPr>
          <w:rFonts w:hint="eastAsia" w:ascii="宋体" w:hAnsi="宋体" w:eastAsia="宋体" w:cs="宋体"/>
          <w:b/>
          <w:color w:val="000000"/>
          <w:sz w:val="44"/>
          <w:szCs w:val="44"/>
          <w:lang w:bidi="ar"/>
        </w:rPr>
        <w:t xml:space="preserve"> </w:t>
      </w:r>
    </w:p>
    <w:p w14:paraId="40208513">
      <w:pPr>
        <w:spacing w:line="440" w:lineRule="exact"/>
        <w:ind w:left="420"/>
        <w:rPr>
          <w:rFonts w:ascii="宋体" w:hAnsi="宋体" w:eastAsia="宋体" w:cs="宋体"/>
          <w:color w:val="000000"/>
          <w:szCs w:val="21"/>
        </w:rPr>
      </w:pPr>
      <w:r>
        <w:rPr>
          <w:rFonts w:hint="eastAsia" w:ascii="宋体" w:hAnsi="宋体" w:eastAsia="宋体" w:cs="宋体"/>
          <w:color w:val="000000"/>
          <w:szCs w:val="21"/>
          <w:lang w:bidi="ar"/>
        </w:rPr>
        <w:t>（1）报价表（格式见附件）；</w:t>
      </w:r>
    </w:p>
    <w:p w14:paraId="0500050E">
      <w:pPr>
        <w:spacing w:line="440" w:lineRule="exact"/>
        <w:ind w:left="420"/>
        <w:rPr>
          <w:rFonts w:ascii="宋体" w:hAnsi="宋体" w:eastAsia="宋体" w:cs="宋体"/>
          <w:color w:val="000000"/>
          <w:szCs w:val="21"/>
        </w:rPr>
      </w:pPr>
      <w:r>
        <w:rPr>
          <w:rFonts w:hint="eastAsia" w:ascii="宋体" w:hAnsi="宋体" w:eastAsia="宋体" w:cs="宋体"/>
          <w:color w:val="000000"/>
          <w:szCs w:val="21"/>
          <w:lang w:bidi="ar"/>
        </w:rPr>
        <w:t>（2）磋商响应函（格式见附件）；</w:t>
      </w:r>
    </w:p>
    <w:p w14:paraId="658837B8">
      <w:pPr>
        <w:spacing w:line="440" w:lineRule="exact"/>
        <w:ind w:left="420"/>
        <w:rPr>
          <w:rFonts w:ascii="宋体" w:hAnsi="宋体" w:eastAsia="宋体" w:cs="宋体"/>
          <w:color w:val="000000"/>
          <w:szCs w:val="21"/>
          <w:lang w:bidi="ar"/>
        </w:rPr>
      </w:pPr>
      <w:r>
        <w:rPr>
          <w:rFonts w:hint="eastAsia" w:ascii="宋体" w:hAnsi="宋体" w:eastAsia="宋体" w:cs="宋体"/>
          <w:color w:val="000000"/>
          <w:szCs w:val="21"/>
          <w:lang w:bidi="ar"/>
        </w:rPr>
        <w:t>（3）分项报价明细表（格式见附件）；</w:t>
      </w:r>
    </w:p>
    <w:p w14:paraId="0EC7EACB">
      <w:pPr>
        <w:spacing w:line="440" w:lineRule="exact"/>
        <w:ind w:left="420"/>
        <w:rPr>
          <w:rFonts w:ascii="宋体" w:hAnsi="宋体" w:eastAsia="宋体" w:cs="宋体"/>
          <w:color w:val="000000"/>
          <w:szCs w:val="21"/>
          <w:lang w:bidi="ar"/>
        </w:rPr>
      </w:pPr>
      <w:r>
        <w:rPr>
          <w:rFonts w:hint="eastAsia" w:ascii="宋体" w:hAnsi="宋体" w:eastAsia="宋体" w:cs="宋体"/>
          <w:color w:val="000000"/>
          <w:szCs w:val="21"/>
          <w:lang w:bidi="ar"/>
        </w:rPr>
        <w:t>（4）磋商文件商务评审中要求提供的其他相关资料；</w:t>
      </w:r>
    </w:p>
    <w:p w14:paraId="1E036874">
      <w:pPr>
        <w:spacing w:line="440" w:lineRule="exact"/>
        <w:ind w:left="420"/>
        <w:rPr>
          <w:rFonts w:ascii="宋体" w:hAnsi="宋体" w:eastAsia="宋体" w:cs="宋体"/>
          <w:color w:val="000000"/>
          <w:szCs w:val="21"/>
          <w:lang w:bidi="ar"/>
        </w:rPr>
      </w:pPr>
      <w:r>
        <w:rPr>
          <w:rFonts w:hint="eastAsia" w:ascii="宋体" w:hAnsi="宋体" w:eastAsia="宋体" w:cs="宋体"/>
          <w:color w:val="000000"/>
          <w:szCs w:val="21"/>
          <w:lang w:bidi="ar"/>
        </w:rPr>
        <w:t>（5）供应商认为需要提供的其他材料；</w:t>
      </w:r>
    </w:p>
    <w:p w14:paraId="5B9224B0">
      <w:pPr>
        <w:spacing w:line="440" w:lineRule="exact"/>
        <w:ind w:left="420"/>
        <w:rPr>
          <w:rFonts w:ascii="宋体" w:hAnsi="宋体" w:eastAsia="宋体" w:cs="宋体"/>
          <w:color w:val="000000"/>
          <w:szCs w:val="21"/>
          <w:lang w:bidi="ar"/>
        </w:rPr>
      </w:pPr>
      <w:r>
        <w:rPr>
          <w:rFonts w:hint="eastAsia" w:ascii="宋体" w:hAnsi="宋体" w:eastAsia="宋体" w:cs="宋体"/>
          <w:color w:val="000000"/>
          <w:szCs w:val="21"/>
          <w:lang w:bidi="ar"/>
        </w:rPr>
        <w:t>（6）其他（如有）。</w:t>
      </w:r>
    </w:p>
    <w:bookmarkEnd w:id="216"/>
    <w:bookmarkEnd w:id="217"/>
    <w:p w14:paraId="64AE8F9B">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359BFE8F">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（1）报价表格式</w:t>
      </w:r>
      <w:bookmarkEnd w:id="218"/>
      <w:bookmarkEnd w:id="219"/>
      <w:bookmarkEnd w:id="220"/>
    </w:p>
    <w:p w14:paraId="24B63D69">
      <w:pPr>
        <w:spacing w:before="156" w:beforeLines="50" w:after="156" w:afterLines="50" w:line="360" w:lineRule="auto"/>
        <w:jc w:val="left"/>
        <w:outlineLvl w:val="2"/>
        <w:rPr>
          <w:rFonts w:ascii="宋体" w:hAnsi="宋体" w:eastAsia="宋体"/>
          <w:b/>
          <w:sz w:val="24"/>
          <w:szCs w:val="28"/>
        </w:rPr>
      </w:pPr>
      <w:r>
        <w:rPr>
          <w:rFonts w:hint="eastAsia" w:ascii="宋体" w:hAnsi="宋体" w:eastAsia="宋体"/>
          <w:b/>
          <w:sz w:val="24"/>
          <w:szCs w:val="28"/>
        </w:rPr>
        <w:t>1-1 报价表</w:t>
      </w:r>
    </w:p>
    <w:p w14:paraId="78048D36">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w:t>
      </w:r>
    </w:p>
    <w:p w14:paraId="1872CABC">
      <w:pPr>
        <w:snapToGrid w:val="0"/>
        <w:spacing w:after="156" w:afterLines="50" w:line="360" w:lineRule="auto"/>
        <w:jc w:val="left"/>
        <w:rPr>
          <w:rFonts w:ascii="宋体" w:hAnsi="宋体" w:eastAsia="宋体"/>
          <w:b/>
          <w:bCs/>
          <w:sz w:val="24"/>
          <w:szCs w:val="28"/>
          <w:u w:val="single"/>
        </w:rPr>
      </w:pPr>
      <w:r>
        <w:rPr>
          <w:rFonts w:hint="eastAsia" w:ascii="宋体" w:hAnsi="宋体" w:eastAsia="宋体"/>
          <w:b/>
          <w:sz w:val="24"/>
          <w:szCs w:val="28"/>
        </w:rPr>
        <w:t>项目编号：</w:t>
      </w:r>
      <w:r>
        <w:rPr>
          <w:rFonts w:hint="eastAsia" w:ascii="宋体" w:hAnsi="宋体" w:eastAsia="宋体"/>
          <w:b/>
          <w:sz w:val="24"/>
          <w:szCs w:val="28"/>
          <w:u w:val="single"/>
        </w:rPr>
        <w:t xml:space="preserve">      </w:t>
      </w:r>
      <w:r>
        <w:rPr>
          <w:rFonts w:hint="eastAsia" w:ascii="宋体" w:hAnsi="宋体" w:eastAsia="宋体"/>
          <w:b/>
          <w:sz w:val="24"/>
          <w:szCs w:val="28"/>
          <w:u w:val="single"/>
          <w:lang w:val="en-US" w:eastAsia="zh-CN"/>
        </w:rPr>
        <w:t>/</w:t>
      </w:r>
      <w:r>
        <w:rPr>
          <w:rFonts w:hint="eastAsia" w:ascii="宋体" w:hAnsi="宋体" w:eastAsia="宋体"/>
          <w:b/>
          <w:sz w:val="24"/>
          <w:szCs w:val="28"/>
          <w:u w:val="single"/>
        </w:rPr>
        <w:t xml:space="preserve">    </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5E4C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DD95E09">
            <w:pPr>
              <w:spacing w:line="360" w:lineRule="auto"/>
              <w:jc w:val="center"/>
              <w:rPr>
                <w:rFonts w:ascii="宋体" w:hAnsi="宋体" w:eastAsia="宋体"/>
                <w:b/>
                <w:sz w:val="24"/>
              </w:rPr>
            </w:pPr>
            <w:r>
              <w:rPr>
                <w:rFonts w:hint="eastAsia" w:ascii="宋体" w:hAnsi="宋体" w:eastAsia="宋体"/>
                <w:b/>
                <w:sz w:val="24"/>
              </w:rPr>
              <w:t>供应商名称</w:t>
            </w:r>
          </w:p>
        </w:tc>
        <w:tc>
          <w:tcPr>
            <w:tcW w:w="3557" w:type="pct"/>
            <w:tcBorders>
              <w:left w:val="single" w:color="auto" w:sz="4" w:space="0"/>
            </w:tcBorders>
          </w:tcPr>
          <w:p w14:paraId="4044AEBD">
            <w:pPr>
              <w:spacing w:line="360" w:lineRule="auto"/>
              <w:rPr>
                <w:rFonts w:ascii="宋体" w:hAnsi="宋体" w:eastAsia="宋体"/>
                <w:b/>
                <w:sz w:val="24"/>
              </w:rPr>
            </w:pPr>
          </w:p>
        </w:tc>
      </w:tr>
      <w:tr w14:paraId="508C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4D74640">
            <w:pPr>
              <w:spacing w:line="360" w:lineRule="exact"/>
              <w:jc w:val="center"/>
              <w:rPr>
                <w:rFonts w:ascii="宋体" w:hAnsi="宋体" w:eastAsia="宋体"/>
                <w:b/>
                <w:sz w:val="24"/>
              </w:rPr>
            </w:pPr>
            <w:r>
              <w:rPr>
                <w:rFonts w:hint="eastAsia" w:ascii="宋体" w:hAnsi="宋体" w:eastAsia="宋体"/>
                <w:b/>
                <w:sz w:val="24"/>
              </w:rPr>
              <w:t>磋商范围</w:t>
            </w:r>
          </w:p>
        </w:tc>
        <w:tc>
          <w:tcPr>
            <w:tcW w:w="3557" w:type="pct"/>
            <w:tcBorders>
              <w:left w:val="single" w:color="auto" w:sz="4" w:space="0"/>
            </w:tcBorders>
            <w:vAlign w:val="center"/>
          </w:tcPr>
          <w:p w14:paraId="40088707">
            <w:pPr>
              <w:widowControl/>
              <w:spacing w:line="360" w:lineRule="exact"/>
              <w:rPr>
                <w:rFonts w:ascii="宋体" w:hAnsi="宋体" w:eastAsia="宋体"/>
                <w:b/>
                <w:sz w:val="24"/>
              </w:rPr>
            </w:pPr>
            <w:r>
              <w:rPr>
                <w:rFonts w:hint="eastAsia" w:asciiTheme="minorEastAsia" w:hAnsiTheme="minorEastAsia" w:eastAsiaTheme="minorEastAsia"/>
                <w:sz w:val="24"/>
                <w:szCs w:val="28"/>
              </w:rPr>
              <w:t xml:space="preserve">全部 </w:t>
            </w:r>
          </w:p>
        </w:tc>
      </w:tr>
      <w:tr w14:paraId="1E46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6E6C55AC">
            <w:pPr>
              <w:spacing w:line="360" w:lineRule="auto"/>
              <w:jc w:val="center"/>
              <w:rPr>
                <w:rFonts w:ascii="宋体" w:hAnsi="宋体" w:eastAsia="宋体"/>
                <w:b/>
                <w:sz w:val="24"/>
              </w:rPr>
            </w:pPr>
            <w:r>
              <w:rPr>
                <w:rFonts w:hint="eastAsia" w:ascii="宋体" w:hAnsi="宋体" w:eastAsia="宋体"/>
                <w:b/>
                <w:sz w:val="24"/>
              </w:rPr>
              <w:t>报价</w:t>
            </w:r>
          </w:p>
          <w:p w14:paraId="7D9FDEEF">
            <w:pPr>
              <w:spacing w:line="360" w:lineRule="auto"/>
              <w:jc w:val="center"/>
              <w:rPr>
                <w:rFonts w:ascii="宋体" w:hAnsi="宋体" w:eastAsia="宋体"/>
                <w:b/>
                <w:sz w:val="24"/>
              </w:rPr>
            </w:pPr>
            <w:r>
              <w:rPr>
                <w:rFonts w:hint="eastAsia" w:ascii="宋体" w:hAnsi="宋体" w:eastAsia="宋体"/>
                <w:b/>
                <w:sz w:val="24"/>
              </w:rPr>
              <w:t>（详见备注说明）</w:t>
            </w:r>
          </w:p>
        </w:tc>
        <w:tc>
          <w:tcPr>
            <w:tcW w:w="3557" w:type="pct"/>
            <w:vAlign w:val="center"/>
          </w:tcPr>
          <w:p w14:paraId="7669B282">
            <w:pPr>
              <w:snapToGrid w:val="0"/>
              <w:spacing w:line="360" w:lineRule="auto"/>
              <w:rPr>
                <w:rFonts w:ascii="宋体" w:hAnsi="宋体" w:eastAsia="宋体"/>
                <w:sz w:val="24"/>
                <w:szCs w:val="28"/>
              </w:rPr>
            </w:pPr>
          </w:p>
          <w:p w14:paraId="0A12A9E6">
            <w:pPr>
              <w:snapToGrid w:val="0"/>
              <w:spacing w:line="360" w:lineRule="auto"/>
              <w:jc w:val="left"/>
              <w:rPr>
                <w:rFonts w:ascii="宋体" w:hAnsi="宋体" w:eastAsia="宋体" w:cs="宋体"/>
                <w:bCs/>
                <w:sz w:val="24"/>
                <w:szCs w:val="24"/>
                <w:u w:val="single"/>
              </w:rPr>
            </w:pPr>
            <w:r>
              <w:rPr>
                <w:rFonts w:hint="eastAsia" w:ascii="宋体" w:hAnsi="宋体" w:eastAsia="宋体" w:cs="宋体"/>
                <w:bCs/>
                <w:sz w:val="24"/>
                <w:szCs w:val="24"/>
              </w:rPr>
              <w:t>大写：</w:t>
            </w:r>
            <w:r>
              <w:rPr>
                <w:rFonts w:hint="eastAsia" w:ascii="宋体" w:hAnsi="宋体" w:eastAsia="宋体" w:cs="宋体"/>
                <w:bCs/>
                <w:sz w:val="24"/>
                <w:szCs w:val="24"/>
                <w:u w:val="single"/>
              </w:rPr>
              <w:t xml:space="preserve">                     </w:t>
            </w:r>
          </w:p>
          <w:p w14:paraId="4B0F04B7">
            <w:pPr>
              <w:spacing w:line="360" w:lineRule="auto"/>
              <w:ind w:right="-670"/>
              <w:rPr>
                <w:rFonts w:asciiTheme="minorEastAsia" w:hAnsiTheme="minorEastAsia" w:eastAsiaTheme="minorEastAsia"/>
                <w:sz w:val="24"/>
              </w:rPr>
            </w:pPr>
            <w:r>
              <w:rPr>
                <w:rFonts w:hint="eastAsia" w:ascii="宋体" w:hAnsi="宋体" w:eastAsia="宋体" w:cs="宋体"/>
                <w:bCs/>
                <w:sz w:val="24"/>
                <w:szCs w:val="24"/>
              </w:rPr>
              <w:t>小写：</w:t>
            </w:r>
            <w:r>
              <w:rPr>
                <w:rFonts w:hint="eastAsia" w:ascii="宋体" w:hAnsi="宋体" w:eastAsia="宋体" w:cs="宋体"/>
                <w:bCs/>
                <w:sz w:val="24"/>
                <w:szCs w:val="24"/>
                <w:u w:val="single"/>
              </w:rPr>
              <w:t xml:space="preserve">                     </w:t>
            </w:r>
          </w:p>
          <w:p w14:paraId="35255BDA">
            <w:pPr>
              <w:snapToGrid w:val="0"/>
              <w:spacing w:line="360" w:lineRule="auto"/>
              <w:rPr>
                <w:rFonts w:ascii="宋体" w:hAnsi="宋体" w:eastAsia="宋体"/>
                <w:b/>
                <w:sz w:val="24"/>
              </w:rPr>
            </w:pPr>
          </w:p>
        </w:tc>
      </w:tr>
      <w:tr w14:paraId="6E1E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297A07F5">
            <w:pPr>
              <w:spacing w:line="360" w:lineRule="auto"/>
              <w:jc w:val="center"/>
              <w:rPr>
                <w:rFonts w:ascii="宋体" w:hAnsi="宋体" w:eastAsia="宋体"/>
                <w:b/>
                <w:sz w:val="24"/>
              </w:rPr>
            </w:pPr>
            <w:r>
              <w:rPr>
                <w:rFonts w:hint="eastAsia" w:ascii="宋体" w:hAnsi="宋体" w:eastAsia="宋体"/>
                <w:b/>
                <w:sz w:val="24"/>
              </w:rPr>
              <w:t>备注说明</w:t>
            </w:r>
          </w:p>
        </w:tc>
        <w:tc>
          <w:tcPr>
            <w:tcW w:w="3557" w:type="pct"/>
          </w:tcPr>
          <w:p w14:paraId="3B0984ED">
            <w:pPr>
              <w:spacing w:line="360" w:lineRule="auto"/>
              <w:rPr>
                <w:rFonts w:ascii="宋体" w:hAnsi="宋体" w:eastAsia="宋体"/>
                <w:b/>
                <w:sz w:val="24"/>
              </w:rPr>
            </w:pPr>
          </w:p>
        </w:tc>
      </w:tr>
    </w:tbl>
    <w:p w14:paraId="610DF0E4">
      <w:pPr>
        <w:spacing w:line="360" w:lineRule="auto"/>
        <w:ind w:firstLine="4800" w:firstLineChars="2000"/>
        <w:rPr>
          <w:rFonts w:ascii="宋体" w:hAnsi="宋体" w:eastAsia="宋体"/>
          <w:sz w:val="24"/>
        </w:rPr>
      </w:pPr>
      <w:r>
        <w:rPr>
          <w:rFonts w:hint="eastAsia" w:ascii="宋体" w:hAnsi="宋体" w:eastAsia="宋体"/>
          <w:sz w:val="24"/>
        </w:rPr>
        <w:t>供应商盖公章：</w:t>
      </w:r>
      <w:r>
        <w:rPr>
          <w:rFonts w:hint="eastAsia" w:ascii="宋体" w:hAnsi="宋体" w:eastAsia="宋体"/>
          <w:sz w:val="24"/>
          <w:u w:val="single"/>
        </w:rPr>
        <w:t xml:space="preserve">             </w:t>
      </w:r>
    </w:p>
    <w:p w14:paraId="0E6A42A5">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047306AB">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w:t>
      </w:r>
    </w:p>
    <w:p w14:paraId="5DBE2303">
      <w:pPr>
        <w:adjustRightInd w:val="0"/>
        <w:snapToGrid w:val="0"/>
        <w:spacing w:line="360" w:lineRule="auto"/>
        <w:ind w:firstLine="482" w:firstLineChars="200"/>
        <w:rPr>
          <w:rFonts w:ascii="宋体" w:hAnsi="宋体" w:eastAsia="宋体"/>
          <w:sz w:val="24"/>
        </w:rPr>
      </w:pPr>
      <w:r>
        <w:rPr>
          <w:rFonts w:hint="eastAsia" w:ascii="宋体" w:hAnsi="宋体" w:eastAsia="宋体"/>
          <w:b/>
          <w:bCs/>
          <w:sz w:val="24"/>
          <w:szCs w:val="28"/>
        </w:rPr>
        <w:t>1.本表内容根据磋商文件要求包括了服务及其配套的设计、采购、制造、检测、试验、运输、保险、仓储、税费以及现场落地、安装及安装耗损、调试、培训、技术服务（包括技术资料、图纸的提供）质保期内的售后服务保障等所有费用。</w:t>
      </w:r>
    </w:p>
    <w:p w14:paraId="1FBDA04C">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2.特殊事项在备注中注明。</w:t>
      </w:r>
    </w:p>
    <w:p w14:paraId="1B620BAC">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3.表中大写金额与小写金额不一致的，以大写金额为准。</w:t>
      </w:r>
    </w:p>
    <w:p w14:paraId="2D8DA636">
      <w:pPr>
        <w:widowControl/>
        <w:jc w:val="left"/>
        <w:rPr>
          <w:rFonts w:ascii="宋体" w:hAnsi="宋体" w:eastAsia="宋体"/>
          <w:b/>
          <w:bCs/>
          <w:sz w:val="24"/>
          <w:szCs w:val="28"/>
        </w:rPr>
      </w:pPr>
      <w:r>
        <w:rPr>
          <w:rFonts w:ascii="宋体" w:hAnsi="宋体" w:eastAsia="宋体"/>
          <w:b/>
          <w:bCs/>
          <w:sz w:val="24"/>
          <w:szCs w:val="28"/>
        </w:rPr>
        <w:br w:type="page"/>
      </w:r>
    </w:p>
    <w:p w14:paraId="4F664AC0">
      <w:pPr>
        <w:spacing w:line="360" w:lineRule="auto"/>
        <w:jc w:val="center"/>
        <w:outlineLvl w:val="1"/>
        <w:rPr>
          <w:rFonts w:asciiTheme="minorEastAsia" w:hAnsiTheme="minorEastAsia" w:eastAsiaTheme="minorEastAsia"/>
          <w:b/>
          <w:sz w:val="24"/>
        </w:rPr>
      </w:pPr>
      <w:bookmarkStart w:id="245" w:name="_Toc32385"/>
      <w:bookmarkStart w:id="246" w:name="_Toc11500"/>
      <w:bookmarkStart w:id="247" w:name="_Toc520983591"/>
      <w:r>
        <w:rPr>
          <w:rFonts w:hint="eastAsia" w:asciiTheme="minorEastAsia" w:hAnsiTheme="minorEastAsia" w:eastAsiaTheme="minorEastAsia"/>
          <w:b/>
          <w:sz w:val="24"/>
        </w:rPr>
        <w:t>（2）磋商响应函</w:t>
      </w:r>
      <w:bookmarkEnd w:id="245"/>
      <w:bookmarkEnd w:id="246"/>
      <w:bookmarkEnd w:id="247"/>
    </w:p>
    <w:p w14:paraId="1558FE42">
      <w:pPr>
        <w:pStyle w:val="15"/>
        <w:spacing w:line="360" w:lineRule="auto"/>
        <w:rPr>
          <w:rFonts w:ascii="宋体" w:hAnsi="宋体"/>
          <w:sz w:val="24"/>
        </w:rPr>
      </w:pPr>
      <w:r>
        <w:rPr>
          <w:rFonts w:hint="eastAsia" w:ascii="宋体" w:hAnsi="宋体"/>
          <w:sz w:val="24"/>
        </w:rPr>
        <w:t>致：</w:t>
      </w:r>
      <w:r>
        <w:rPr>
          <w:rFonts w:hint="eastAsia" w:cs="宋体" w:asciiTheme="minorEastAsia" w:hAnsiTheme="minorEastAsia" w:eastAsiaTheme="minorEastAsia"/>
          <w:sz w:val="24"/>
          <w:szCs w:val="24"/>
          <w:u w:val="single"/>
        </w:rPr>
        <w:t>滁州市科学技术馆</w:t>
      </w:r>
    </w:p>
    <w:p w14:paraId="6DF75B4B">
      <w:pPr>
        <w:spacing w:line="360" w:lineRule="auto"/>
        <w:ind w:firstLine="480" w:firstLineChars="200"/>
        <w:rPr>
          <w:rFonts w:ascii="宋体" w:hAnsi="宋体" w:eastAsia="宋体"/>
          <w:dstrike/>
          <w:sz w:val="24"/>
        </w:rPr>
      </w:pPr>
      <w:r>
        <w:rPr>
          <w:rFonts w:hint="eastAsia" w:ascii="宋体" w:hAnsi="宋体" w:eastAsia="宋体"/>
          <w:sz w:val="24"/>
        </w:rPr>
        <w:t>根据贵方的</w:t>
      </w:r>
      <w:bookmarkStart w:id="248" w:name="_Hlk44287543"/>
      <w:r>
        <w:rPr>
          <w:rFonts w:hint="eastAsia" w:ascii="宋体" w:hAnsi="宋体" w:eastAsia="宋体"/>
          <w:sz w:val="24"/>
        </w:rPr>
        <w:t>竞争性磋商公告和磋商邀请</w:t>
      </w:r>
      <w:bookmarkEnd w:id="248"/>
      <w:r>
        <w:rPr>
          <w:rFonts w:hint="eastAsia" w:ascii="宋体" w:hAnsi="宋体" w:eastAsia="宋体"/>
          <w:sz w:val="24"/>
        </w:rPr>
        <w:t>，我方兹宣布同意如下：</w:t>
      </w:r>
    </w:p>
    <w:p w14:paraId="672A2BF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宋体" w:hAnsi="宋体" w:eastAsia="宋体" w:cs="宋体"/>
          <w:sz w:val="24"/>
          <w:szCs w:val="24"/>
        </w:rPr>
        <w:t>我方根据磋商文件的规定，严格履行合同的责任和义务,并保证于买方要求的日期内完成，并通过买方验收。</w:t>
      </w:r>
    </w:p>
    <w:p w14:paraId="40F6C7D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2.我方已详细审核全部磋商文件，包括磋商文件附件及更正公告（如有），我方正式认可并遵守本次磋商文件，并对磋商文件各项条款、规定及要求均无异议。</w:t>
      </w:r>
    </w:p>
    <w:p w14:paraId="74CFAA2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3.我方同意从磋商文件规定的磋商日期起遵循本磋商文件，并在磋商文件规定的磋商有效期之前均具有约束力。</w:t>
      </w:r>
    </w:p>
    <w:p w14:paraId="6A269EE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我方声明响应文件所提供的一切资料均真实无误、及时、有效，企业运营正常。由于我方提供资料不实而造成的责任和后果由我方承担。我方同意按照贵方提出的要求，提供与磋商有关的任何证据、数据或资料。</w:t>
      </w:r>
    </w:p>
    <w:p w14:paraId="71C19B94">
      <w:pPr>
        <w:spacing w:line="360" w:lineRule="auto"/>
        <w:ind w:firstLine="480" w:firstLineChars="200"/>
        <w:rPr>
          <w:rFonts w:ascii="宋体" w:hAnsi="宋体" w:eastAsia="宋体"/>
          <w:sz w:val="24"/>
        </w:rPr>
      </w:pPr>
    </w:p>
    <w:p w14:paraId="7920C123">
      <w:pPr>
        <w:spacing w:line="360" w:lineRule="auto"/>
        <w:ind w:firstLine="4800" w:firstLineChars="2000"/>
        <w:rPr>
          <w:rFonts w:ascii="宋体" w:hAnsi="宋体" w:eastAsia="宋体"/>
          <w:sz w:val="24"/>
        </w:rPr>
      </w:pPr>
      <w:r>
        <w:rPr>
          <w:rFonts w:hint="eastAsia" w:ascii="宋体" w:hAnsi="宋体" w:eastAsia="宋体"/>
          <w:sz w:val="24"/>
        </w:rPr>
        <w:t>供应商盖公章：</w:t>
      </w:r>
      <w:r>
        <w:rPr>
          <w:rFonts w:hint="eastAsia" w:ascii="宋体" w:hAnsi="宋体" w:eastAsia="宋体"/>
          <w:sz w:val="24"/>
          <w:u w:val="single"/>
        </w:rPr>
        <w:t xml:space="preserve">             </w:t>
      </w:r>
    </w:p>
    <w:p w14:paraId="3096912F">
      <w:pPr>
        <w:spacing w:before="156" w:beforeLines="50" w:after="156" w:afterLines="50" w:line="360" w:lineRule="auto"/>
        <w:jc w:val="right"/>
        <w:outlineLvl w:val="2"/>
        <w:rPr>
          <w:rFonts w:ascii="宋体" w:hAnsi="宋体" w:eastAsia="宋体"/>
          <w:b/>
          <w:sz w:val="24"/>
          <w:szCs w:val="28"/>
        </w:rPr>
      </w:pPr>
      <w:r>
        <w:rPr>
          <w:rFonts w:hint="eastAsia" w:ascii="宋体" w:hAnsi="宋体" w:eastAsia="宋体"/>
          <w:sz w:val="24"/>
        </w:rPr>
        <w:t>日          期：</w:t>
      </w:r>
      <w:r>
        <w:rPr>
          <w:rFonts w:hint="eastAsia" w:ascii="宋体" w:hAnsi="宋体" w:eastAsia="宋体"/>
          <w:sz w:val="24"/>
          <w:u w:val="single"/>
        </w:rPr>
        <w:t xml:space="preserve">             </w:t>
      </w:r>
    </w:p>
    <w:p w14:paraId="7D7730A2">
      <w:pPr>
        <w:widowControl/>
        <w:jc w:val="left"/>
        <w:rPr>
          <w:rFonts w:ascii="宋体" w:hAnsi="宋体" w:eastAsia="宋体"/>
          <w:b/>
          <w:sz w:val="24"/>
          <w:szCs w:val="28"/>
        </w:rPr>
      </w:pPr>
      <w:r>
        <w:rPr>
          <w:rFonts w:ascii="宋体" w:hAnsi="宋体" w:eastAsia="宋体"/>
          <w:b/>
          <w:sz w:val="24"/>
          <w:szCs w:val="28"/>
        </w:rPr>
        <w:br w:type="page"/>
      </w:r>
    </w:p>
    <w:p w14:paraId="1BA3201C">
      <w:pPr>
        <w:spacing w:before="156" w:beforeLines="50" w:after="156" w:afterLines="50" w:line="360" w:lineRule="auto"/>
        <w:jc w:val="center"/>
        <w:outlineLvl w:val="2"/>
        <w:rPr>
          <w:rFonts w:ascii="宋体" w:hAnsi="宋体" w:eastAsia="宋体"/>
          <w:b/>
          <w:sz w:val="24"/>
          <w:szCs w:val="28"/>
        </w:rPr>
      </w:pPr>
      <w:r>
        <w:rPr>
          <w:rFonts w:hint="eastAsia" w:ascii="宋体" w:hAnsi="宋体" w:eastAsia="宋体"/>
          <w:b/>
          <w:sz w:val="24"/>
          <w:szCs w:val="28"/>
        </w:rPr>
        <w:t>（3）分项报价明细表</w:t>
      </w:r>
    </w:p>
    <w:p w14:paraId="7007B460">
      <w:pPr>
        <w:spacing w:line="360" w:lineRule="auto"/>
        <w:ind w:firstLine="435"/>
        <w:jc w:val="center"/>
        <w:rPr>
          <w:rFonts w:asciiTheme="minorEastAsia" w:hAnsiTheme="minorEastAsia" w:eastAsiaTheme="minorEastAsia"/>
          <w:b/>
          <w:sz w:val="24"/>
        </w:rPr>
      </w:pPr>
      <w:r>
        <w:rPr>
          <w:rFonts w:hint="eastAsia" w:asciiTheme="minorEastAsia" w:hAnsiTheme="minorEastAsia" w:eastAsiaTheme="minorEastAsia"/>
          <w:i/>
          <w:sz w:val="24"/>
        </w:rPr>
        <w:t>（仅供参考，供应商可自行制作格式）</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3110"/>
        <w:gridCol w:w="1357"/>
        <w:gridCol w:w="1700"/>
        <w:gridCol w:w="1567"/>
      </w:tblGrid>
      <w:tr w14:paraId="5FB8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3" w:type="pct"/>
            <w:vAlign w:val="center"/>
          </w:tcPr>
          <w:p w14:paraId="6FD763B3">
            <w:pPr>
              <w:jc w:val="center"/>
              <w:rPr>
                <w:rFonts w:ascii="宋体" w:hAnsi="宋体" w:eastAsia="宋体"/>
                <w:b/>
                <w:sz w:val="24"/>
              </w:rPr>
            </w:pPr>
            <w:r>
              <w:rPr>
                <w:rFonts w:hint="eastAsia" w:ascii="宋体" w:hAnsi="宋体" w:eastAsia="宋体"/>
                <w:b/>
                <w:sz w:val="24"/>
              </w:rPr>
              <w:t>序号</w:t>
            </w:r>
          </w:p>
        </w:tc>
        <w:tc>
          <w:tcPr>
            <w:tcW w:w="1824" w:type="pct"/>
            <w:vAlign w:val="center"/>
          </w:tcPr>
          <w:p w14:paraId="6FB824E4">
            <w:pPr>
              <w:jc w:val="center"/>
              <w:rPr>
                <w:rFonts w:ascii="宋体" w:hAnsi="宋体" w:eastAsia="宋体"/>
                <w:b/>
                <w:sz w:val="24"/>
              </w:rPr>
            </w:pPr>
            <w:r>
              <w:rPr>
                <w:rFonts w:hint="eastAsia" w:ascii="宋体" w:hAnsi="宋体" w:eastAsia="宋体"/>
                <w:b/>
                <w:sz w:val="24"/>
              </w:rPr>
              <w:t>服务内容</w:t>
            </w:r>
          </w:p>
        </w:tc>
        <w:tc>
          <w:tcPr>
            <w:tcW w:w="796" w:type="pct"/>
            <w:vAlign w:val="center"/>
          </w:tcPr>
          <w:p w14:paraId="6F2D3FB8">
            <w:pPr>
              <w:jc w:val="center"/>
              <w:rPr>
                <w:rFonts w:ascii="宋体" w:hAnsi="宋体" w:eastAsia="宋体"/>
                <w:b/>
                <w:sz w:val="24"/>
              </w:rPr>
            </w:pPr>
            <w:r>
              <w:rPr>
                <w:rFonts w:hint="eastAsia" w:ascii="宋体" w:hAnsi="宋体" w:eastAsia="宋体"/>
                <w:b/>
                <w:sz w:val="24"/>
              </w:rPr>
              <w:t>项</w:t>
            </w:r>
          </w:p>
        </w:tc>
        <w:tc>
          <w:tcPr>
            <w:tcW w:w="996" w:type="pct"/>
            <w:vAlign w:val="center"/>
          </w:tcPr>
          <w:p w14:paraId="06ED780F">
            <w:pPr>
              <w:jc w:val="center"/>
              <w:rPr>
                <w:rFonts w:ascii="宋体" w:hAnsi="宋体" w:eastAsia="宋体"/>
                <w:b/>
                <w:sz w:val="24"/>
              </w:rPr>
            </w:pPr>
            <w:r>
              <w:rPr>
                <w:rFonts w:hint="eastAsia" w:ascii="宋体" w:hAnsi="宋体" w:eastAsia="宋体"/>
                <w:b/>
                <w:sz w:val="24"/>
              </w:rPr>
              <w:t>单价</w:t>
            </w:r>
          </w:p>
        </w:tc>
        <w:tc>
          <w:tcPr>
            <w:tcW w:w="919" w:type="pct"/>
            <w:vAlign w:val="center"/>
          </w:tcPr>
          <w:p w14:paraId="08BA739A">
            <w:pPr>
              <w:jc w:val="center"/>
              <w:rPr>
                <w:rFonts w:ascii="宋体" w:hAnsi="宋体" w:eastAsia="宋体"/>
                <w:b/>
                <w:sz w:val="24"/>
              </w:rPr>
            </w:pPr>
            <w:r>
              <w:rPr>
                <w:rFonts w:hint="eastAsia" w:ascii="宋体" w:hAnsi="宋体" w:eastAsia="宋体"/>
                <w:b/>
                <w:sz w:val="24"/>
              </w:rPr>
              <w:t>小计金额（元）</w:t>
            </w:r>
          </w:p>
        </w:tc>
      </w:tr>
      <w:tr w14:paraId="2048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3" w:type="pct"/>
            <w:tcBorders>
              <w:bottom w:val="single" w:color="auto" w:sz="4" w:space="0"/>
            </w:tcBorders>
            <w:vAlign w:val="center"/>
          </w:tcPr>
          <w:p w14:paraId="662B786A">
            <w:pPr>
              <w:jc w:val="center"/>
              <w:rPr>
                <w:rFonts w:ascii="宋体" w:hAnsi="宋体" w:eastAsia="宋体"/>
                <w:sz w:val="24"/>
              </w:rPr>
            </w:pPr>
            <w:r>
              <w:rPr>
                <w:rFonts w:hint="eastAsia" w:ascii="宋体" w:hAnsi="宋体" w:eastAsia="宋体"/>
                <w:sz w:val="24"/>
              </w:rPr>
              <w:t>1</w:t>
            </w:r>
          </w:p>
        </w:tc>
        <w:tc>
          <w:tcPr>
            <w:tcW w:w="1824" w:type="pct"/>
            <w:vAlign w:val="center"/>
          </w:tcPr>
          <w:p w14:paraId="5B9BD652">
            <w:pPr>
              <w:jc w:val="center"/>
              <w:rPr>
                <w:rFonts w:ascii="宋体" w:hAnsi="宋体" w:eastAsia="宋体"/>
                <w:sz w:val="24"/>
              </w:rPr>
            </w:pPr>
            <w:r>
              <w:rPr>
                <w:rFonts w:hint="eastAsia" w:ascii="宋体" w:hAnsi="宋体" w:eastAsia="宋体" w:cs="宋体"/>
                <w:sz w:val="24"/>
                <w:szCs w:val="24"/>
              </w:rPr>
              <w:t>《皮影也科技》展览的运输、安装、维护和拆除</w:t>
            </w:r>
          </w:p>
        </w:tc>
        <w:tc>
          <w:tcPr>
            <w:tcW w:w="796" w:type="pct"/>
            <w:vAlign w:val="center"/>
          </w:tcPr>
          <w:p w14:paraId="72B5D542">
            <w:pPr>
              <w:jc w:val="center"/>
              <w:rPr>
                <w:rFonts w:ascii="宋体" w:hAnsi="宋体" w:eastAsia="宋体"/>
                <w:sz w:val="24"/>
              </w:rPr>
            </w:pPr>
            <w:r>
              <w:rPr>
                <w:rFonts w:hint="eastAsia" w:ascii="宋体" w:hAnsi="宋体" w:eastAsia="宋体"/>
                <w:sz w:val="24"/>
              </w:rPr>
              <w:t>1项</w:t>
            </w:r>
          </w:p>
        </w:tc>
        <w:tc>
          <w:tcPr>
            <w:tcW w:w="996" w:type="pct"/>
            <w:vAlign w:val="center"/>
          </w:tcPr>
          <w:p w14:paraId="1C28DBB6">
            <w:pPr>
              <w:jc w:val="center"/>
              <w:rPr>
                <w:rFonts w:ascii="宋体" w:hAnsi="宋体" w:eastAsia="宋体"/>
                <w:sz w:val="24"/>
              </w:rPr>
            </w:pPr>
          </w:p>
        </w:tc>
        <w:tc>
          <w:tcPr>
            <w:tcW w:w="919" w:type="pct"/>
            <w:vAlign w:val="center"/>
          </w:tcPr>
          <w:p w14:paraId="53C3F118">
            <w:pPr>
              <w:jc w:val="center"/>
              <w:rPr>
                <w:rFonts w:ascii="宋体" w:hAnsi="宋体" w:eastAsia="宋体"/>
                <w:sz w:val="24"/>
              </w:rPr>
            </w:pPr>
          </w:p>
        </w:tc>
      </w:tr>
      <w:tr w14:paraId="3608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3" w:type="pct"/>
            <w:vAlign w:val="center"/>
          </w:tcPr>
          <w:p w14:paraId="2E8B0BF0">
            <w:pPr>
              <w:jc w:val="center"/>
              <w:rPr>
                <w:rFonts w:ascii="宋体" w:hAnsi="宋体" w:eastAsia="宋体"/>
                <w:sz w:val="24"/>
              </w:rPr>
            </w:pPr>
            <w:r>
              <w:rPr>
                <w:rFonts w:hint="eastAsia" w:ascii="宋体" w:hAnsi="宋体" w:eastAsia="宋体"/>
                <w:sz w:val="24"/>
              </w:rPr>
              <w:t>2</w:t>
            </w:r>
          </w:p>
        </w:tc>
        <w:tc>
          <w:tcPr>
            <w:tcW w:w="1824" w:type="pct"/>
            <w:vAlign w:val="center"/>
          </w:tcPr>
          <w:p w14:paraId="0966BB68">
            <w:pPr>
              <w:jc w:val="center"/>
              <w:rPr>
                <w:rFonts w:ascii="宋体" w:hAnsi="宋体" w:eastAsia="宋体"/>
                <w:sz w:val="24"/>
              </w:rPr>
            </w:pPr>
            <w:r>
              <w:rPr>
                <w:rFonts w:hint="eastAsia" w:ascii="宋体" w:hAnsi="宋体" w:eastAsia="宋体"/>
                <w:sz w:val="24"/>
              </w:rPr>
              <w:t>玻璃墙遮光</w:t>
            </w:r>
          </w:p>
        </w:tc>
        <w:tc>
          <w:tcPr>
            <w:tcW w:w="796" w:type="pct"/>
            <w:vAlign w:val="center"/>
          </w:tcPr>
          <w:p w14:paraId="4464C912">
            <w:pPr>
              <w:jc w:val="center"/>
              <w:rPr>
                <w:rFonts w:ascii="宋体" w:hAnsi="宋体" w:eastAsia="宋体"/>
                <w:sz w:val="24"/>
              </w:rPr>
            </w:pPr>
            <w:r>
              <w:rPr>
                <w:rFonts w:hint="eastAsia" w:ascii="宋体" w:hAnsi="宋体" w:eastAsia="宋体"/>
                <w:sz w:val="24"/>
              </w:rPr>
              <w:t>约2</w:t>
            </w:r>
            <w:r>
              <w:rPr>
                <w:rFonts w:ascii="宋体" w:hAnsi="宋体" w:eastAsia="宋体"/>
                <w:sz w:val="24"/>
              </w:rPr>
              <w:t>20</w:t>
            </w:r>
            <w:r>
              <w:rPr>
                <w:rFonts w:hint="eastAsia" w:ascii="宋体" w:hAnsi="宋体" w:eastAsia="宋体"/>
                <w:sz w:val="24"/>
              </w:rPr>
              <w:t>平方米</w:t>
            </w:r>
          </w:p>
        </w:tc>
        <w:tc>
          <w:tcPr>
            <w:tcW w:w="996" w:type="pct"/>
            <w:vAlign w:val="center"/>
          </w:tcPr>
          <w:p w14:paraId="4AC5E324">
            <w:pPr>
              <w:jc w:val="center"/>
              <w:rPr>
                <w:rFonts w:ascii="宋体" w:hAnsi="宋体" w:eastAsia="宋体"/>
                <w:sz w:val="24"/>
              </w:rPr>
            </w:pPr>
          </w:p>
        </w:tc>
        <w:tc>
          <w:tcPr>
            <w:tcW w:w="919" w:type="pct"/>
            <w:vAlign w:val="center"/>
          </w:tcPr>
          <w:p w14:paraId="64EB610F">
            <w:pPr>
              <w:jc w:val="center"/>
              <w:rPr>
                <w:rFonts w:ascii="宋体" w:hAnsi="宋体" w:eastAsia="宋体"/>
                <w:sz w:val="24"/>
              </w:rPr>
            </w:pPr>
          </w:p>
        </w:tc>
      </w:tr>
      <w:tr w14:paraId="70EA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64477D7A">
            <w:pPr>
              <w:jc w:val="center"/>
              <w:rPr>
                <w:rFonts w:ascii="宋体" w:hAnsi="宋体" w:eastAsia="宋体"/>
                <w:sz w:val="24"/>
              </w:rPr>
            </w:pPr>
            <w:r>
              <w:rPr>
                <w:rFonts w:hint="eastAsia" w:ascii="宋体" w:hAnsi="宋体" w:eastAsia="宋体"/>
                <w:b/>
                <w:sz w:val="24"/>
              </w:rPr>
              <w:t>合计金额（元）</w:t>
            </w:r>
          </w:p>
        </w:tc>
        <w:tc>
          <w:tcPr>
            <w:tcW w:w="919" w:type="pct"/>
            <w:vAlign w:val="center"/>
          </w:tcPr>
          <w:p w14:paraId="0CD0E0F8">
            <w:pPr>
              <w:jc w:val="center"/>
              <w:rPr>
                <w:rFonts w:ascii="宋体" w:hAnsi="宋体" w:eastAsia="宋体"/>
                <w:sz w:val="24"/>
              </w:rPr>
            </w:pPr>
          </w:p>
        </w:tc>
      </w:tr>
    </w:tbl>
    <w:p w14:paraId="62C4BDD1">
      <w:pPr>
        <w:spacing w:line="360" w:lineRule="auto"/>
        <w:ind w:firstLine="4800" w:firstLineChars="2000"/>
        <w:rPr>
          <w:rFonts w:ascii="宋体" w:hAnsi="宋体" w:eastAsia="宋体"/>
          <w:sz w:val="24"/>
        </w:rPr>
      </w:pPr>
      <w:r>
        <w:rPr>
          <w:rFonts w:hint="eastAsia" w:ascii="宋体" w:hAnsi="宋体" w:eastAsia="宋体"/>
          <w:sz w:val="24"/>
        </w:rPr>
        <w:t>供应商盖公章：</w:t>
      </w:r>
      <w:r>
        <w:rPr>
          <w:rFonts w:hint="eastAsia" w:ascii="宋体" w:hAnsi="宋体" w:eastAsia="宋体"/>
          <w:sz w:val="24"/>
          <w:u w:val="single"/>
        </w:rPr>
        <w:t xml:space="preserve">             </w:t>
      </w:r>
    </w:p>
    <w:p w14:paraId="75E524BF">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7B8A9873">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w:t>
      </w:r>
    </w:p>
    <w:p w14:paraId="23CA26E3">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表中所列服务为对应本项目需求的全部服务内容。如有漏项或缺项，供应商承担全部责任。</w:t>
      </w:r>
    </w:p>
    <w:p w14:paraId="43AE1257">
      <w:pPr>
        <w:widowControl/>
        <w:rPr>
          <w:rFonts w:asciiTheme="minorEastAsia" w:hAnsiTheme="minorEastAsia" w:eastAsiaTheme="minorEastAsia"/>
          <w:b/>
          <w:sz w:val="24"/>
        </w:rPr>
      </w:pPr>
      <w:bookmarkStart w:id="249" w:name="_Toc7807"/>
      <w:bookmarkStart w:id="250" w:name="_Toc3826"/>
    </w:p>
    <w:p w14:paraId="0248BC06">
      <w:pPr>
        <w:widowControl/>
        <w:rPr>
          <w:rFonts w:asciiTheme="minorEastAsia" w:hAnsiTheme="minorEastAsia" w:eastAsiaTheme="minorEastAsia"/>
          <w:b/>
          <w:sz w:val="24"/>
        </w:rPr>
      </w:pPr>
    </w:p>
    <w:p w14:paraId="2A1DB8C4">
      <w:pPr>
        <w:widowControl/>
        <w:rPr>
          <w:rFonts w:asciiTheme="minorEastAsia" w:hAnsiTheme="minorEastAsia" w:eastAsiaTheme="minorEastAsia"/>
          <w:b/>
          <w:sz w:val="24"/>
        </w:rPr>
      </w:pPr>
    </w:p>
    <w:p w14:paraId="687E317B">
      <w:pPr>
        <w:widowControl/>
        <w:rPr>
          <w:rFonts w:asciiTheme="minorEastAsia" w:hAnsiTheme="minorEastAsia" w:eastAsiaTheme="minorEastAsia"/>
          <w:b/>
          <w:sz w:val="24"/>
        </w:rPr>
      </w:pPr>
    </w:p>
    <w:p w14:paraId="0D2B58BA">
      <w:pPr>
        <w:widowControl/>
        <w:rPr>
          <w:rFonts w:asciiTheme="minorEastAsia" w:hAnsiTheme="minorEastAsia" w:eastAsiaTheme="minorEastAsia"/>
          <w:b/>
          <w:sz w:val="24"/>
        </w:rPr>
      </w:pPr>
    </w:p>
    <w:p w14:paraId="70FE0E94">
      <w:pPr>
        <w:widowControl/>
        <w:rPr>
          <w:rFonts w:asciiTheme="minorEastAsia" w:hAnsiTheme="minorEastAsia" w:eastAsiaTheme="minorEastAsia"/>
          <w:b/>
          <w:sz w:val="24"/>
        </w:rPr>
      </w:pPr>
    </w:p>
    <w:p w14:paraId="577CFFFF">
      <w:pPr>
        <w:widowControl/>
        <w:rPr>
          <w:rFonts w:asciiTheme="minorEastAsia" w:hAnsiTheme="minorEastAsia" w:eastAsiaTheme="minorEastAsia"/>
          <w:b/>
          <w:sz w:val="24"/>
        </w:rPr>
      </w:pPr>
    </w:p>
    <w:p w14:paraId="7C22E88A">
      <w:pPr>
        <w:widowControl/>
        <w:rPr>
          <w:rFonts w:asciiTheme="minorEastAsia" w:hAnsiTheme="minorEastAsia" w:eastAsiaTheme="minorEastAsia"/>
          <w:b/>
          <w:sz w:val="24"/>
        </w:rPr>
      </w:pPr>
    </w:p>
    <w:p w14:paraId="315D2A02">
      <w:pPr>
        <w:widowControl/>
        <w:rPr>
          <w:rFonts w:asciiTheme="minorEastAsia" w:hAnsiTheme="minorEastAsia" w:eastAsiaTheme="minorEastAsia"/>
          <w:b/>
          <w:sz w:val="24"/>
        </w:rPr>
      </w:pPr>
    </w:p>
    <w:p w14:paraId="7CB6F984">
      <w:pPr>
        <w:widowControl/>
        <w:rPr>
          <w:rFonts w:asciiTheme="minorEastAsia" w:hAnsiTheme="minorEastAsia" w:eastAsiaTheme="minorEastAsia"/>
          <w:b/>
          <w:sz w:val="24"/>
        </w:rPr>
      </w:pPr>
    </w:p>
    <w:p w14:paraId="4BD86253">
      <w:pPr>
        <w:widowControl/>
        <w:rPr>
          <w:rFonts w:asciiTheme="minorEastAsia" w:hAnsiTheme="minorEastAsia" w:eastAsiaTheme="minorEastAsia"/>
          <w:b/>
          <w:sz w:val="24"/>
        </w:rPr>
      </w:pPr>
    </w:p>
    <w:p w14:paraId="0AB3FABD">
      <w:pPr>
        <w:widowControl/>
        <w:rPr>
          <w:rFonts w:asciiTheme="minorEastAsia" w:hAnsiTheme="minorEastAsia" w:eastAsiaTheme="minorEastAsia"/>
          <w:b/>
          <w:sz w:val="24"/>
        </w:rPr>
      </w:pPr>
    </w:p>
    <w:p w14:paraId="7AE0F444">
      <w:pPr>
        <w:widowControl/>
        <w:rPr>
          <w:rFonts w:asciiTheme="minorEastAsia" w:hAnsiTheme="minorEastAsia" w:eastAsiaTheme="minorEastAsia"/>
          <w:b/>
          <w:sz w:val="24"/>
        </w:rPr>
      </w:pPr>
    </w:p>
    <w:p w14:paraId="30A7D529">
      <w:pPr>
        <w:widowControl/>
        <w:rPr>
          <w:rFonts w:asciiTheme="minorEastAsia" w:hAnsiTheme="minorEastAsia" w:eastAsiaTheme="minorEastAsia"/>
          <w:b/>
          <w:sz w:val="24"/>
        </w:rPr>
      </w:pPr>
    </w:p>
    <w:bookmarkEnd w:id="249"/>
    <w:bookmarkEnd w:id="250"/>
    <w:p w14:paraId="432611E2">
      <w:pPr>
        <w:widowControl/>
        <w:jc w:val="center"/>
        <w:rPr>
          <w:rFonts w:asciiTheme="minorEastAsia" w:hAnsiTheme="minorEastAsia" w:eastAsiaTheme="minorEastAsia"/>
          <w:b/>
          <w:sz w:val="24"/>
        </w:rPr>
      </w:pPr>
      <w:r>
        <w:rPr>
          <w:rFonts w:hint="eastAsia" w:asciiTheme="minorEastAsia" w:hAnsiTheme="minorEastAsia" w:eastAsiaTheme="minorEastAsia"/>
          <w:b/>
          <w:sz w:val="24"/>
        </w:rPr>
        <w:t>（4）其他相关证明材料</w:t>
      </w:r>
    </w:p>
    <w:p w14:paraId="2FAEF9FC">
      <w:pPr>
        <w:widowControl/>
        <w:jc w:val="center"/>
        <w:rPr>
          <w:rFonts w:ascii="宋体" w:hAnsi="宋体" w:eastAsia="宋体"/>
          <w:b/>
          <w:bCs/>
          <w:sz w:val="24"/>
          <w:szCs w:val="28"/>
        </w:rPr>
      </w:pPr>
      <w:r>
        <w:rPr>
          <w:rFonts w:hint="eastAsia" w:ascii="宋体" w:hAnsi="宋体" w:eastAsia="宋体"/>
          <w:sz w:val="24"/>
        </w:rPr>
        <w:t>如有</w:t>
      </w:r>
    </w:p>
    <w:p w14:paraId="4C75B2E5">
      <w:pPr>
        <w:widowControl/>
        <w:jc w:val="left"/>
        <w:rPr>
          <w:rFonts w:asciiTheme="minorEastAsia" w:hAnsiTheme="minorEastAsia" w:eastAsiaTheme="minorEastAsia"/>
          <w:b/>
          <w:sz w:val="24"/>
        </w:rPr>
      </w:pPr>
      <w:bookmarkStart w:id="251" w:name="_Toc32436"/>
      <w:bookmarkStart w:id="252" w:name="_Toc520983588"/>
      <w:bookmarkStart w:id="253" w:name="_Toc28695"/>
      <w:r>
        <w:rPr>
          <w:rFonts w:asciiTheme="minorEastAsia" w:hAnsiTheme="minorEastAsia" w:eastAsiaTheme="minorEastAsia"/>
          <w:b/>
          <w:sz w:val="24"/>
        </w:rPr>
        <w:br w:type="page"/>
      </w:r>
    </w:p>
    <w:p w14:paraId="65F49A9C">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最后承诺报价表</w:t>
      </w:r>
      <w:bookmarkEnd w:id="251"/>
      <w:bookmarkEnd w:id="252"/>
      <w:bookmarkEnd w:id="253"/>
    </w:p>
    <w:p w14:paraId="359E4B64">
      <w:pPr>
        <w:spacing w:before="156" w:beforeLines="50" w:after="156" w:afterLines="50" w:line="360" w:lineRule="auto"/>
        <w:ind w:firstLine="236" w:firstLineChars="98"/>
        <w:jc w:val="center"/>
        <w:rPr>
          <w:rFonts w:ascii="宋体" w:hAnsi="宋体" w:eastAsia="宋体"/>
          <w:b/>
          <w:sz w:val="24"/>
          <w:szCs w:val="28"/>
        </w:rPr>
      </w:pPr>
      <w:r>
        <w:rPr>
          <w:rFonts w:hint="eastAsia" w:ascii="宋体" w:hAnsi="宋体" w:eastAsia="宋体"/>
          <w:b/>
          <w:sz w:val="24"/>
          <w:szCs w:val="28"/>
        </w:rPr>
        <w:t>（第</w:t>
      </w:r>
      <w:r>
        <w:rPr>
          <w:rFonts w:hint="eastAsia" w:ascii="宋体" w:hAnsi="宋体" w:eastAsia="宋体"/>
          <w:b/>
          <w:sz w:val="24"/>
          <w:szCs w:val="28"/>
          <w:u w:val="single"/>
        </w:rPr>
        <w:t xml:space="preserve">   </w:t>
      </w:r>
      <w:r>
        <w:rPr>
          <w:rFonts w:hint="eastAsia" w:ascii="宋体" w:hAnsi="宋体" w:eastAsia="宋体"/>
          <w:b/>
          <w:sz w:val="24"/>
          <w:szCs w:val="28"/>
        </w:rPr>
        <w:t>次报价书）</w:t>
      </w:r>
    </w:p>
    <w:p w14:paraId="213123EF">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w:t>
      </w:r>
    </w:p>
    <w:p w14:paraId="6AFA7CFA">
      <w:pPr>
        <w:snapToGrid w:val="0"/>
        <w:spacing w:after="156" w:afterLines="50" w:line="360" w:lineRule="auto"/>
        <w:jc w:val="left"/>
        <w:rPr>
          <w:rFonts w:ascii="宋体" w:hAnsi="宋体" w:eastAsia="宋体"/>
          <w:b/>
          <w:bCs/>
          <w:sz w:val="24"/>
          <w:szCs w:val="28"/>
        </w:rPr>
      </w:pPr>
      <w:r>
        <w:rPr>
          <w:rFonts w:hint="eastAsia" w:ascii="宋体" w:hAnsi="宋体" w:eastAsia="宋体"/>
          <w:b/>
          <w:sz w:val="24"/>
          <w:szCs w:val="28"/>
        </w:rPr>
        <w:t>项目编号：</w:t>
      </w:r>
      <w:r>
        <w:rPr>
          <w:rFonts w:hint="eastAsia" w:ascii="宋体" w:hAnsi="宋体" w:eastAsia="宋体"/>
          <w:b/>
          <w:sz w:val="24"/>
          <w:szCs w:val="28"/>
          <w:u w:val="single"/>
        </w:rPr>
        <w:t xml:space="preserve">    </w:t>
      </w:r>
      <w:r>
        <w:rPr>
          <w:rFonts w:hint="eastAsia" w:ascii="宋体" w:hAnsi="宋体" w:eastAsia="宋体"/>
          <w:b/>
          <w:sz w:val="24"/>
          <w:szCs w:val="28"/>
          <w:u w:val="single"/>
          <w:lang w:val="en-US" w:eastAsia="zh-CN"/>
        </w:rPr>
        <w:t>/</w:t>
      </w:r>
      <w:r>
        <w:rPr>
          <w:rFonts w:hint="eastAsia" w:ascii="宋体" w:hAnsi="宋体" w:eastAsia="宋体"/>
          <w:b/>
          <w:sz w:val="24"/>
          <w:szCs w:val="28"/>
          <w:u w:val="single"/>
        </w:rPr>
        <w:t xml:space="preserve">      </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24B8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62CA78BB">
            <w:pPr>
              <w:spacing w:line="360" w:lineRule="auto"/>
              <w:jc w:val="center"/>
              <w:rPr>
                <w:rFonts w:ascii="宋体" w:hAnsi="宋体" w:eastAsia="宋体"/>
                <w:b/>
                <w:sz w:val="24"/>
              </w:rPr>
            </w:pPr>
            <w:r>
              <w:rPr>
                <w:rFonts w:hint="eastAsia" w:ascii="宋体" w:hAnsi="宋体" w:eastAsia="宋体"/>
                <w:b/>
                <w:sz w:val="24"/>
              </w:rPr>
              <w:t>供应商名称</w:t>
            </w:r>
          </w:p>
        </w:tc>
        <w:tc>
          <w:tcPr>
            <w:tcW w:w="3557" w:type="pct"/>
            <w:tcBorders>
              <w:left w:val="single" w:color="auto" w:sz="4" w:space="0"/>
            </w:tcBorders>
          </w:tcPr>
          <w:p w14:paraId="45A0AF43">
            <w:pPr>
              <w:spacing w:line="360" w:lineRule="auto"/>
              <w:rPr>
                <w:rFonts w:ascii="宋体" w:hAnsi="宋体" w:eastAsia="宋体"/>
                <w:b/>
                <w:sz w:val="24"/>
              </w:rPr>
            </w:pPr>
          </w:p>
        </w:tc>
      </w:tr>
      <w:tr w14:paraId="1136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30423B2">
            <w:pPr>
              <w:spacing w:line="360" w:lineRule="exact"/>
              <w:jc w:val="center"/>
              <w:rPr>
                <w:rFonts w:ascii="宋体" w:hAnsi="宋体" w:eastAsia="宋体"/>
                <w:b/>
                <w:sz w:val="24"/>
              </w:rPr>
            </w:pPr>
            <w:r>
              <w:rPr>
                <w:rFonts w:hint="eastAsia" w:ascii="宋体" w:hAnsi="宋体" w:eastAsia="宋体"/>
                <w:b/>
                <w:bCs/>
                <w:sz w:val="24"/>
                <w:szCs w:val="28"/>
              </w:rPr>
              <w:t>磋商</w:t>
            </w:r>
            <w:r>
              <w:rPr>
                <w:rFonts w:hint="eastAsia" w:ascii="宋体" w:hAnsi="宋体" w:eastAsia="宋体"/>
                <w:b/>
                <w:sz w:val="24"/>
              </w:rPr>
              <w:t>范围</w:t>
            </w:r>
          </w:p>
        </w:tc>
        <w:tc>
          <w:tcPr>
            <w:tcW w:w="3557" w:type="pct"/>
            <w:tcBorders>
              <w:left w:val="single" w:color="auto" w:sz="4" w:space="0"/>
            </w:tcBorders>
            <w:vAlign w:val="center"/>
          </w:tcPr>
          <w:p w14:paraId="5A05D62F">
            <w:pPr>
              <w:widowControl/>
              <w:spacing w:line="360" w:lineRule="exact"/>
              <w:rPr>
                <w:rFonts w:ascii="宋体" w:hAnsi="宋体" w:eastAsia="宋体"/>
                <w:b/>
                <w:sz w:val="24"/>
              </w:rPr>
            </w:pPr>
            <w:r>
              <w:rPr>
                <w:rFonts w:hint="eastAsia" w:asciiTheme="minorEastAsia" w:hAnsiTheme="minorEastAsia" w:eastAsiaTheme="minorEastAsia"/>
                <w:sz w:val="24"/>
                <w:szCs w:val="28"/>
              </w:rPr>
              <w:t>全部 / 第</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包</w:t>
            </w:r>
          </w:p>
        </w:tc>
      </w:tr>
      <w:tr w14:paraId="1B11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15E23AAB">
            <w:pPr>
              <w:spacing w:line="360" w:lineRule="auto"/>
              <w:jc w:val="center"/>
              <w:rPr>
                <w:rFonts w:ascii="宋体" w:hAnsi="宋体" w:eastAsia="宋体"/>
                <w:b/>
                <w:sz w:val="24"/>
              </w:rPr>
            </w:pPr>
            <w:r>
              <w:rPr>
                <w:rFonts w:hint="eastAsia" w:ascii="宋体" w:hAnsi="宋体" w:eastAsia="宋体"/>
                <w:b/>
                <w:bCs/>
                <w:sz w:val="24"/>
                <w:szCs w:val="28"/>
              </w:rPr>
              <w:t>最后报价</w:t>
            </w:r>
          </w:p>
          <w:p w14:paraId="6965810E">
            <w:pPr>
              <w:spacing w:line="360" w:lineRule="auto"/>
              <w:jc w:val="center"/>
              <w:rPr>
                <w:rFonts w:ascii="宋体" w:hAnsi="宋体" w:eastAsia="宋体"/>
                <w:b/>
                <w:sz w:val="24"/>
              </w:rPr>
            </w:pPr>
            <w:r>
              <w:rPr>
                <w:rFonts w:hint="eastAsia" w:ascii="宋体" w:hAnsi="宋体" w:eastAsia="宋体"/>
                <w:b/>
                <w:sz w:val="24"/>
              </w:rPr>
              <w:t>（详见备注说明）</w:t>
            </w:r>
          </w:p>
        </w:tc>
        <w:tc>
          <w:tcPr>
            <w:tcW w:w="3557" w:type="pct"/>
            <w:vAlign w:val="center"/>
          </w:tcPr>
          <w:p w14:paraId="0D3C23DA">
            <w:pPr>
              <w:snapToGrid w:val="0"/>
              <w:spacing w:line="360" w:lineRule="auto"/>
              <w:rPr>
                <w:rFonts w:ascii="宋体" w:hAnsi="宋体" w:eastAsia="宋体"/>
                <w:sz w:val="24"/>
                <w:szCs w:val="28"/>
              </w:rPr>
            </w:pPr>
          </w:p>
          <w:p w14:paraId="552A8203">
            <w:pPr>
              <w:snapToGrid w:val="0"/>
              <w:spacing w:line="360" w:lineRule="auto"/>
              <w:jc w:val="left"/>
              <w:rPr>
                <w:rFonts w:ascii="宋体" w:hAnsi="宋体" w:eastAsia="宋体" w:cs="宋体"/>
                <w:bCs/>
                <w:sz w:val="24"/>
                <w:szCs w:val="24"/>
                <w:u w:val="single"/>
              </w:rPr>
            </w:pPr>
            <w:r>
              <w:rPr>
                <w:rFonts w:hint="eastAsia" w:ascii="宋体" w:hAnsi="宋体" w:eastAsia="宋体" w:cs="宋体"/>
                <w:bCs/>
                <w:sz w:val="24"/>
                <w:szCs w:val="24"/>
              </w:rPr>
              <w:t>人民币大写：</w:t>
            </w:r>
            <w:r>
              <w:rPr>
                <w:rFonts w:hint="eastAsia" w:ascii="宋体" w:hAnsi="宋体" w:eastAsia="宋体" w:cs="宋体"/>
                <w:bCs/>
                <w:sz w:val="24"/>
                <w:szCs w:val="24"/>
                <w:u w:val="single"/>
              </w:rPr>
              <w:t xml:space="preserve">                     </w:t>
            </w:r>
          </w:p>
          <w:p w14:paraId="38E99F9B">
            <w:pPr>
              <w:spacing w:line="360" w:lineRule="auto"/>
              <w:ind w:right="-670"/>
              <w:rPr>
                <w:rFonts w:ascii="宋体" w:hAnsi="宋体" w:eastAsia="宋体"/>
                <w:b/>
                <w:sz w:val="24"/>
              </w:rPr>
            </w:pPr>
            <w:r>
              <w:rPr>
                <w:rFonts w:hint="eastAsia" w:ascii="宋体" w:hAnsi="宋体" w:eastAsia="宋体" w:cs="宋体"/>
                <w:bCs/>
                <w:sz w:val="24"/>
                <w:szCs w:val="24"/>
              </w:rPr>
              <w:t>人民币小写：</w:t>
            </w:r>
            <w:r>
              <w:rPr>
                <w:rFonts w:hint="eastAsia" w:ascii="宋体" w:hAnsi="宋体" w:eastAsia="宋体" w:cs="宋体"/>
                <w:bCs/>
                <w:sz w:val="24"/>
                <w:szCs w:val="24"/>
                <w:u w:val="single"/>
              </w:rPr>
              <w:t xml:space="preserve">                     </w:t>
            </w:r>
          </w:p>
        </w:tc>
      </w:tr>
      <w:tr w14:paraId="75F3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443" w:type="pct"/>
            <w:vAlign w:val="center"/>
          </w:tcPr>
          <w:p w14:paraId="088F481C">
            <w:pPr>
              <w:spacing w:line="360" w:lineRule="auto"/>
              <w:jc w:val="center"/>
              <w:rPr>
                <w:rFonts w:ascii="宋体" w:hAnsi="宋体" w:eastAsia="宋体"/>
                <w:b/>
                <w:sz w:val="24"/>
              </w:rPr>
            </w:pPr>
            <w:r>
              <w:rPr>
                <w:rFonts w:hint="eastAsia" w:ascii="宋体" w:hAnsi="宋体" w:eastAsia="宋体"/>
                <w:b/>
                <w:sz w:val="24"/>
              </w:rPr>
              <w:t>备注说明</w:t>
            </w:r>
          </w:p>
        </w:tc>
        <w:tc>
          <w:tcPr>
            <w:tcW w:w="3557" w:type="pct"/>
          </w:tcPr>
          <w:p w14:paraId="46E8D72A">
            <w:pPr>
              <w:spacing w:line="360" w:lineRule="auto"/>
              <w:rPr>
                <w:rFonts w:ascii="宋体" w:hAnsi="宋体" w:eastAsia="宋体"/>
                <w:b/>
                <w:sz w:val="24"/>
              </w:rPr>
            </w:pPr>
            <w:r>
              <w:rPr>
                <w:rFonts w:hint="eastAsia" w:ascii="宋体" w:hAnsi="宋体" w:eastAsia="宋体"/>
                <w:b/>
                <w:i/>
                <w:sz w:val="24"/>
              </w:rPr>
              <w:t>（此处可补充磋商小组根据与供应商磋商情况变动的磋商文件的内容，包括采购需求中的技术、服务要求以及合同草案条款。）</w:t>
            </w:r>
          </w:p>
        </w:tc>
      </w:tr>
      <w:tr w14:paraId="5E1C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4B8F20CB">
            <w:pPr>
              <w:spacing w:line="360" w:lineRule="auto"/>
              <w:jc w:val="center"/>
              <w:rPr>
                <w:rFonts w:ascii="宋体" w:hAnsi="宋体" w:eastAsia="宋体"/>
                <w:b/>
                <w:sz w:val="24"/>
              </w:rPr>
            </w:pPr>
            <w:r>
              <w:rPr>
                <w:rFonts w:hint="eastAsia" w:ascii="宋体" w:hAnsi="宋体" w:eastAsia="宋体"/>
                <w:b/>
                <w:bCs/>
                <w:sz w:val="24"/>
                <w:szCs w:val="28"/>
              </w:rPr>
              <w:t>磋商小组</w:t>
            </w:r>
            <w:r>
              <w:rPr>
                <w:rFonts w:ascii="宋体" w:hAnsi="宋体" w:eastAsia="宋体"/>
                <w:b/>
                <w:bCs/>
                <w:sz w:val="24"/>
                <w:szCs w:val="28"/>
              </w:rPr>
              <w:t>签字</w:t>
            </w:r>
          </w:p>
        </w:tc>
        <w:tc>
          <w:tcPr>
            <w:tcW w:w="3557" w:type="pct"/>
          </w:tcPr>
          <w:p w14:paraId="46811699">
            <w:pPr>
              <w:spacing w:line="360" w:lineRule="auto"/>
              <w:rPr>
                <w:rFonts w:ascii="宋体" w:hAnsi="宋体" w:eastAsia="宋体"/>
                <w:b/>
                <w:sz w:val="24"/>
              </w:rPr>
            </w:pPr>
          </w:p>
        </w:tc>
      </w:tr>
    </w:tbl>
    <w:p w14:paraId="390BED5D">
      <w:pPr>
        <w:spacing w:line="360" w:lineRule="auto"/>
        <w:ind w:firstLine="3600" w:firstLineChars="1500"/>
        <w:jc w:val="left"/>
        <w:rPr>
          <w:rFonts w:ascii="宋体" w:hAnsi="宋体" w:eastAsia="宋体"/>
          <w:sz w:val="24"/>
        </w:rPr>
      </w:pPr>
      <w:r>
        <w:rPr>
          <w:rFonts w:hint="eastAsia" w:ascii="宋体" w:hAnsi="宋体" w:eastAsia="宋体"/>
          <w:sz w:val="24"/>
        </w:rPr>
        <w:t>供应商公章或授权代表签字：</w:t>
      </w:r>
      <w:r>
        <w:rPr>
          <w:rFonts w:hint="eastAsia" w:ascii="宋体" w:hAnsi="宋体" w:eastAsia="宋体"/>
          <w:sz w:val="24"/>
          <w:u w:val="single"/>
        </w:rPr>
        <w:t xml:space="preserve">             </w:t>
      </w:r>
    </w:p>
    <w:p w14:paraId="38EE31A0">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679DE763">
      <w:pPr>
        <w:spacing w:line="360" w:lineRule="auto"/>
        <w:jc w:val="left"/>
        <w:rPr>
          <w:rFonts w:ascii="宋体" w:hAnsi="宋体" w:eastAsia="宋体"/>
          <w:b/>
          <w:bCs/>
          <w:sz w:val="24"/>
        </w:rPr>
      </w:pPr>
      <w:r>
        <w:rPr>
          <w:rFonts w:hint="eastAsia" w:ascii="宋体" w:hAnsi="宋体" w:eastAsia="宋体"/>
          <w:b/>
          <w:bCs/>
          <w:sz w:val="24"/>
        </w:rPr>
        <w:t>注：</w:t>
      </w:r>
    </w:p>
    <w:p w14:paraId="41E29FA1">
      <w:pPr>
        <w:spacing w:line="360" w:lineRule="auto"/>
        <w:ind w:firstLine="482" w:firstLineChars="200"/>
        <w:jc w:val="left"/>
        <w:rPr>
          <w:rFonts w:ascii="宋体" w:hAnsi="宋体" w:eastAsia="宋体"/>
          <w:bCs/>
          <w:sz w:val="24"/>
        </w:rPr>
      </w:pPr>
      <w:r>
        <w:rPr>
          <w:rFonts w:hint="eastAsia" w:ascii="宋体" w:hAnsi="宋体" w:eastAsia="宋体"/>
          <w:b/>
          <w:bCs/>
          <w:sz w:val="24"/>
        </w:rPr>
        <w:t>1.本页《报价表》由供应商在接到报价通知后依据磋商情况填写,并在规定时间内提交。</w:t>
      </w:r>
      <w:r>
        <w:rPr>
          <w:rFonts w:hint="eastAsia" w:ascii="宋体" w:hAnsi="宋体" w:eastAsia="宋体"/>
          <w:sz w:val="24"/>
        </w:rPr>
        <w:t>考虑磋商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w:t>
      </w:r>
      <w:r>
        <w:rPr>
          <w:rFonts w:hint="eastAsia" w:ascii="宋体" w:hAnsi="宋体" w:eastAsia="宋体"/>
          <w:bCs/>
          <w:sz w:val="24"/>
        </w:rPr>
        <w:t>此优惠率调整原则适用于合同内价格的计算及项目增减、变更时价格的计算。</w:t>
      </w:r>
    </w:p>
    <w:p w14:paraId="7667902E">
      <w:pPr>
        <w:adjustRightInd w:val="0"/>
        <w:snapToGrid w:val="0"/>
        <w:spacing w:line="360" w:lineRule="auto"/>
        <w:ind w:firstLine="482" w:firstLineChars="200"/>
        <w:rPr>
          <w:rFonts w:hint="eastAsia" w:ascii="宋体" w:hAnsi="宋体" w:eastAsia="宋体"/>
          <w:b/>
          <w:bCs/>
          <w:sz w:val="24"/>
          <w:szCs w:val="28"/>
        </w:rPr>
      </w:pPr>
      <w:r>
        <w:rPr>
          <w:rFonts w:hint="eastAsia" w:ascii="宋体" w:hAnsi="宋体" w:eastAsia="宋体"/>
          <w:b/>
          <w:bCs/>
          <w:sz w:val="24"/>
          <w:szCs w:val="28"/>
        </w:rPr>
        <w:t>2.表中大写金额与小写金额不一致的，以大写金额为准。</w:t>
      </w:r>
      <w:bookmarkStart w:id="254" w:name="_Hlk44283088"/>
    </w:p>
    <w:p w14:paraId="5644F482">
      <w:pPr>
        <w:adjustRightInd w:val="0"/>
        <w:snapToGrid w:val="0"/>
        <w:spacing w:line="360" w:lineRule="auto"/>
        <w:rPr>
          <w:rFonts w:hint="eastAsia" w:hAnsi="宋体" w:eastAsia="宋体" w:cs="宋体"/>
          <w:b/>
          <w:bCs/>
          <w:color w:val="FF0000"/>
          <w:spacing w:val="8"/>
          <w:sz w:val="36"/>
          <w:szCs w:val="36"/>
          <w:lang w:val="en-US" w:eastAsia="zh-CN"/>
        </w:rPr>
      </w:pPr>
      <w:r>
        <w:rPr>
          <w:rFonts w:hint="eastAsia" w:ascii="宋体" w:hAnsi="宋体" w:eastAsia="宋体" w:cs="宋体"/>
          <w:b/>
          <w:bCs/>
          <w:color w:val="FF0000"/>
          <w:spacing w:val="8"/>
          <w:sz w:val="36"/>
          <w:szCs w:val="36"/>
        </w:rPr>
        <w:t>（本表无需</w:t>
      </w:r>
      <w:r>
        <w:rPr>
          <w:rFonts w:hint="eastAsia" w:ascii="宋体" w:hAnsi="宋体" w:eastAsia="宋体" w:cs="宋体"/>
          <w:b/>
          <w:bCs/>
          <w:color w:val="FF0000"/>
          <w:spacing w:val="8"/>
          <w:sz w:val="36"/>
          <w:szCs w:val="36"/>
          <w:lang w:val="en-US" w:eastAsia="zh-CN"/>
        </w:rPr>
        <w:t>制作</w:t>
      </w:r>
      <w:r>
        <w:rPr>
          <w:rFonts w:hint="eastAsia" w:ascii="宋体" w:hAnsi="宋体" w:eastAsia="宋体" w:cs="宋体"/>
          <w:b/>
          <w:bCs/>
          <w:color w:val="FF0000"/>
          <w:spacing w:val="8"/>
          <w:sz w:val="36"/>
          <w:szCs w:val="36"/>
        </w:rPr>
        <w:t>至响应文件中，二次报价时使用</w:t>
      </w:r>
      <w:r>
        <w:rPr>
          <w:rFonts w:hint="eastAsia" w:hAnsi="宋体" w:eastAsia="宋体" w:cs="宋体"/>
          <w:b/>
          <w:bCs/>
          <w:color w:val="FF0000"/>
          <w:spacing w:val="8"/>
          <w:sz w:val="36"/>
          <w:szCs w:val="36"/>
          <w:lang w:val="en-US" w:eastAsia="zh-CN"/>
        </w:rPr>
        <w:t>)</w:t>
      </w:r>
    </w:p>
    <w:p w14:paraId="18C55ECD">
      <w:pPr>
        <w:widowControl/>
        <w:jc w:val="left"/>
        <w:rPr>
          <w:rFonts w:asciiTheme="minorEastAsia" w:hAnsiTheme="minorEastAsia" w:eastAsiaTheme="minorEastAsia"/>
          <w:bCs/>
          <w:sz w:val="24"/>
        </w:rPr>
      </w:pPr>
    </w:p>
    <w:bookmarkEnd w:id="254"/>
    <w:p w14:paraId="413D7FC3">
      <w:pPr>
        <w:widowControl/>
        <w:jc w:val="center"/>
        <w:rPr>
          <w:rFonts w:ascii="宋体" w:hAnsi="宋体" w:eastAsia="宋体"/>
          <w:b/>
          <w:bCs/>
          <w:sz w:val="28"/>
        </w:rPr>
      </w:pPr>
      <w:bookmarkStart w:id="255" w:name="_Toc63440924"/>
      <w:bookmarkStart w:id="256" w:name="_Toc19418"/>
      <w:r>
        <w:rPr>
          <w:rFonts w:hint="eastAsia" w:ascii="宋体" w:hAnsi="宋体" w:eastAsia="宋体"/>
          <w:b/>
          <w:bCs/>
          <w:sz w:val="28"/>
        </w:rPr>
        <w:t>第七章  政府采购</w:t>
      </w:r>
      <w:bookmarkEnd w:id="255"/>
      <w:r>
        <w:rPr>
          <w:rFonts w:hint="eastAsia" w:asciiTheme="minorEastAsia" w:hAnsiTheme="minorEastAsia" w:eastAsiaTheme="minorEastAsia"/>
          <w:b/>
          <w:sz w:val="28"/>
        </w:rPr>
        <w:t>供应</w:t>
      </w:r>
      <w:r>
        <w:rPr>
          <w:rFonts w:hint="eastAsia" w:ascii="宋体" w:hAnsi="宋体" w:eastAsia="宋体"/>
          <w:b/>
          <w:bCs/>
          <w:sz w:val="28"/>
        </w:rPr>
        <w:t>商询问函和质疑函范本</w:t>
      </w:r>
      <w:bookmarkEnd w:id="256"/>
    </w:p>
    <w:p w14:paraId="3CE7DA09">
      <w:pPr>
        <w:spacing w:line="360" w:lineRule="auto"/>
        <w:jc w:val="center"/>
        <w:outlineLvl w:val="1"/>
        <w:rPr>
          <w:rFonts w:ascii="仿宋" w:hAnsi="仿宋" w:eastAsia="仿宋" w:cs="仿宋"/>
          <w:b/>
          <w:bCs/>
          <w:sz w:val="32"/>
          <w:szCs w:val="44"/>
        </w:rPr>
      </w:pPr>
      <w:bookmarkStart w:id="257" w:name="_Toc2142"/>
      <w:bookmarkStart w:id="258" w:name="_Toc8735"/>
      <w:r>
        <w:rPr>
          <w:rFonts w:hint="eastAsia" w:ascii="仿宋" w:hAnsi="仿宋" w:eastAsia="仿宋" w:cs="仿宋"/>
          <w:b/>
          <w:bCs/>
          <w:sz w:val="32"/>
          <w:szCs w:val="44"/>
        </w:rPr>
        <w:t>询问函范本</w:t>
      </w:r>
      <w:bookmarkEnd w:id="257"/>
      <w:bookmarkEnd w:id="258"/>
    </w:p>
    <w:p w14:paraId="65B9ED32">
      <w:pPr>
        <w:adjustRightInd w:val="0"/>
        <w:snapToGrid w:val="0"/>
        <w:spacing w:line="360" w:lineRule="auto"/>
        <w:ind w:firstLine="480" w:firstLineChars="200"/>
        <w:jc w:val="center"/>
        <w:rPr>
          <w:rFonts w:ascii="仿宋" w:hAnsi="仿宋" w:eastAsia="仿宋" w:cs="仿宋"/>
          <w:b/>
          <w:bCs/>
          <w:sz w:val="32"/>
          <w:szCs w:val="44"/>
        </w:rPr>
      </w:pPr>
      <w:r>
        <w:rPr>
          <w:rFonts w:hint="eastAsia" w:cs="仿宋" w:asciiTheme="minorEastAsia" w:hAnsiTheme="minorEastAsia" w:eastAsiaTheme="minorEastAsia"/>
          <w:i/>
          <w:iCs/>
          <w:sz w:val="24"/>
          <w:szCs w:val="24"/>
        </w:rPr>
        <w:t>（如为对采购文件或采购程序的询问或疑问，请按询问函范本附件进行提交）</w:t>
      </w:r>
    </w:p>
    <w:p w14:paraId="05EC1DF7">
      <w:pPr>
        <w:adjustRightInd w:val="0"/>
        <w:snapToGrid w:val="0"/>
        <w:spacing w:line="360" w:lineRule="auto"/>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致：采购人</w:t>
      </w:r>
    </w:p>
    <w:p w14:paraId="0B4DB4A4">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我单位拟参与</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i/>
          <w:iCs/>
          <w:sz w:val="24"/>
          <w:szCs w:val="24"/>
        </w:rPr>
        <w:t>（项目名称、编号)</w:t>
      </w:r>
      <w:r>
        <w:rPr>
          <w:rFonts w:hint="eastAsia" w:cs="仿宋" w:asciiTheme="minorEastAsia" w:hAnsiTheme="minorEastAsia" w:eastAsiaTheme="minorEastAsia"/>
          <w:sz w:val="24"/>
          <w:szCs w:val="24"/>
        </w:rPr>
        <w:t>的采购活动，现有以下内容(或条款)存在疑问(或无法理解)，特提出询问。</w:t>
      </w:r>
    </w:p>
    <w:p w14:paraId="61B7399B">
      <w:pPr>
        <w:adjustRightInd w:val="0"/>
        <w:snapToGrid w:val="0"/>
        <w:spacing w:line="360" w:lineRule="auto"/>
        <w:ind w:firstLine="480" w:firstLineChars="200"/>
        <w:outlineLvl w:val="1"/>
        <w:rPr>
          <w:rFonts w:cs="仿宋" w:asciiTheme="minorEastAsia" w:hAnsiTheme="minorEastAsia" w:eastAsiaTheme="minorEastAsia"/>
          <w:sz w:val="24"/>
          <w:szCs w:val="24"/>
        </w:rPr>
      </w:pPr>
      <w:bookmarkStart w:id="259" w:name="_Toc26386"/>
      <w:bookmarkStart w:id="260" w:name="_Toc9092"/>
      <w:r>
        <w:rPr>
          <w:rFonts w:hint="eastAsia" w:cs="仿宋" w:asciiTheme="minorEastAsia" w:hAnsiTheme="minorEastAsia" w:eastAsiaTheme="minorEastAsia"/>
          <w:sz w:val="24"/>
          <w:szCs w:val="24"/>
        </w:rPr>
        <w:t>一、(事项一)</w:t>
      </w:r>
      <w:bookmarkEnd w:id="259"/>
      <w:bookmarkEnd w:id="260"/>
    </w:p>
    <w:p w14:paraId="03AEC3C2">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1、(内容或条款)</w:t>
      </w:r>
    </w:p>
    <w:p w14:paraId="55D5AA53">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2、(说明疑问或无法理解原因)</w:t>
      </w:r>
    </w:p>
    <w:p w14:paraId="58103C8A">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3、(建议)</w:t>
      </w:r>
    </w:p>
    <w:p w14:paraId="5C3162DE">
      <w:pPr>
        <w:adjustRightInd w:val="0"/>
        <w:snapToGrid w:val="0"/>
        <w:spacing w:line="360" w:lineRule="auto"/>
        <w:ind w:firstLine="480" w:firstLineChars="200"/>
        <w:outlineLvl w:val="1"/>
        <w:rPr>
          <w:rFonts w:cs="仿宋" w:asciiTheme="minorEastAsia" w:hAnsiTheme="minorEastAsia" w:eastAsiaTheme="minorEastAsia"/>
          <w:sz w:val="24"/>
          <w:szCs w:val="24"/>
        </w:rPr>
      </w:pPr>
      <w:bookmarkStart w:id="261" w:name="_Toc17582"/>
      <w:bookmarkStart w:id="262" w:name="_Toc9273"/>
      <w:r>
        <w:rPr>
          <w:rFonts w:hint="eastAsia" w:cs="仿宋" w:asciiTheme="minorEastAsia" w:hAnsiTheme="minorEastAsia" w:eastAsiaTheme="minorEastAsia"/>
          <w:sz w:val="24"/>
          <w:szCs w:val="24"/>
        </w:rPr>
        <w:t>二、(事项二)</w:t>
      </w:r>
      <w:bookmarkEnd w:id="261"/>
      <w:bookmarkEnd w:id="262"/>
    </w:p>
    <w:p w14:paraId="18253F30">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030A377E">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随附相关证明材料如下： </w:t>
      </w:r>
    </w:p>
    <w:p w14:paraId="7A7971BF">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 系 人：</w:t>
      </w:r>
      <w:r>
        <w:rPr>
          <w:rFonts w:hint="eastAsia" w:asciiTheme="minorEastAsia" w:hAnsiTheme="minorEastAsia" w:eastAsiaTheme="minorEastAsia"/>
          <w:sz w:val="24"/>
          <w:u w:val="single"/>
        </w:rPr>
        <w:t xml:space="preserve">              </w:t>
      </w:r>
    </w:p>
    <w:p w14:paraId="49D04BA5">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联系电话：</w:t>
      </w:r>
      <w:r>
        <w:rPr>
          <w:rFonts w:hint="eastAsia" w:asciiTheme="minorEastAsia" w:hAnsiTheme="minorEastAsia" w:eastAsiaTheme="minorEastAsia"/>
          <w:sz w:val="24"/>
          <w:u w:val="single"/>
        </w:rPr>
        <w:t xml:space="preserve">              </w:t>
      </w:r>
    </w:p>
    <w:p w14:paraId="00BD96B3">
      <w:pPr>
        <w:tabs>
          <w:tab w:val="left" w:pos="630"/>
        </w:tabs>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3068D102">
      <w:pPr>
        <w:rPr>
          <w:rFonts w:asciiTheme="minorEastAsia" w:hAnsiTheme="minorEastAsia" w:eastAsiaTheme="minorEastAsia"/>
          <w:b/>
          <w:sz w:val="52"/>
        </w:rPr>
      </w:pPr>
      <w:r>
        <w:rPr>
          <w:rFonts w:hint="eastAsia" w:ascii="仿宋" w:hAnsi="仿宋" w:eastAsia="仿宋" w:cs="仿宋"/>
          <w:b/>
          <w:bCs/>
          <w:sz w:val="32"/>
          <w:szCs w:val="44"/>
        </w:rPr>
        <w:br w:type="page"/>
      </w:r>
    </w:p>
    <w:p w14:paraId="7CE66C75">
      <w:pPr>
        <w:jc w:val="center"/>
        <w:outlineLvl w:val="1"/>
        <w:rPr>
          <w:rFonts w:ascii="仿宋" w:hAnsi="仿宋" w:eastAsia="仿宋" w:cs="仿宋"/>
          <w:b/>
          <w:bCs/>
          <w:sz w:val="32"/>
          <w:szCs w:val="44"/>
        </w:rPr>
      </w:pPr>
      <w:bookmarkStart w:id="263" w:name="_Toc26673"/>
      <w:bookmarkStart w:id="264" w:name="_Toc6990"/>
      <w:r>
        <w:rPr>
          <w:rFonts w:hint="eastAsia" w:ascii="仿宋" w:hAnsi="仿宋" w:eastAsia="仿宋" w:cs="仿宋"/>
          <w:b/>
          <w:bCs/>
          <w:sz w:val="32"/>
          <w:szCs w:val="44"/>
        </w:rPr>
        <w:t>质疑函范本</w:t>
      </w:r>
      <w:bookmarkEnd w:id="263"/>
      <w:bookmarkEnd w:id="264"/>
    </w:p>
    <w:p w14:paraId="48B3501C">
      <w:pPr>
        <w:adjustRightInd w:val="0"/>
        <w:snapToGrid w:val="0"/>
        <w:spacing w:before="312" w:beforeLines="100" w:line="360" w:lineRule="auto"/>
        <w:outlineLvl w:val="1"/>
        <w:rPr>
          <w:rFonts w:cs="仿宋" w:asciiTheme="minorEastAsia" w:hAnsiTheme="minorEastAsia" w:eastAsiaTheme="minorEastAsia"/>
          <w:b/>
          <w:bCs/>
          <w:sz w:val="24"/>
          <w:szCs w:val="24"/>
        </w:rPr>
      </w:pPr>
      <w:bookmarkStart w:id="265" w:name="_Toc29510"/>
      <w:bookmarkStart w:id="266" w:name="_Toc2994"/>
      <w:r>
        <w:rPr>
          <w:rFonts w:hint="eastAsia" w:cs="仿宋" w:asciiTheme="minorEastAsia" w:hAnsiTheme="minorEastAsia" w:eastAsiaTheme="minorEastAsia"/>
          <w:b/>
          <w:bCs/>
          <w:sz w:val="24"/>
          <w:szCs w:val="24"/>
        </w:rPr>
        <w:t>一、质疑供应商基本信息</w:t>
      </w:r>
      <w:bookmarkEnd w:id="265"/>
      <w:bookmarkEnd w:id="266"/>
    </w:p>
    <w:p w14:paraId="0FFB821E">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质疑供应商：</w:t>
      </w:r>
      <w:r>
        <w:rPr>
          <w:rFonts w:hint="eastAsia" w:cs="仿宋" w:asciiTheme="minorEastAsia" w:hAnsiTheme="minorEastAsia" w:eastAsiaTheme="minorEastAsia"/>
          <w:sz w:val="24"/>
          <w:szCs w:val="24"/>
          <w:u w:val="dotted"/>
        </w:rPr>
        <w:t xml:space="preserve">                                        </w:t>
      </w:r>
    </w:p>
    <w:p w14:paraId="5020F453">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5AC832C6">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14:paraId="024219E6">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u w:val="dotted"/>
        </w:rPr>
        <w:t xml:space="preserve">                                          </w:t>
      </w:r>
    </w:p>
    <w:p w14:paraId="322B9C04">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14:paraId="6655CB48">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1657333B">
      <w:pPr>
        <w:adjustRightInd w:val="0"/>
        <w:snapToGrid w:val="0"/>
        <w:spacing w:line="360" w:lineRule="auto"/>
        <w:outlineLvl w:val="1"/>
        <w:rPr>
          <w:rFonts w:cs="仿宋" w:asciiTheme="minorEastAsia" w:hAnsiTheme="minorEastAsia" w:eastAsiaTheme="minorEastAsia"/>
          <w:b/>
          <w:bCs/>
          <w:sz w:val="24"/>
          <w:szCs w:val="24"/>
        </w:rPr>
      </w:pPr>
      <w:bookmarkStart w:id="267" w:name="_Toc31042"/>
      <w:bookmarkStart w:id="268" w:name="_Toc28130"/>
      <w:r>
        <w:rPr>
          <w:rFonts w:hint="eastAsia" w:cs="仿宋" w:asciiTheme="minorEastAsia" w:hAnsiTheme="minorEastAsia" w:eastAsiaTheme="minorEastAsia"/>
          <w:b/>
          <w:bCs/>
          <w:sz w:val="24"/>
          <w:szCs w:val="24"/>
        </w:rPr>
        <w:t>二、质疑项目基本情况</w:t>
      </w:r>
      <w:bookmarkEnd w:id="267"/>
      <w:bookmarkEnd w:id="268"/>
    </w:p>
    <w:p w14:paraId="634ACF93">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质疑项目的名称：</w:t>
      </w:r>
      <w:r>
        <w:rPr>
          <w:rFonts w:hint="eastAsia" w:cs="仿宋" w:asciiTheme="minorEastAsia" w:hAnsiTheme="minorEastAsia" w:eastAsiaTheme="minorEastAsia"/>
          <w:sz w:val="24"/>
          <w:szCs w:val="24"/>
          <w:u w:val="dotted"/>
        </w:rPr>
        <w:t xml:space="preserve">                                    </w:t>
      </w:r>
    </w:p>
    <w:p w14:paraId="1A2F03C4">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质疑项目的编号：</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包号：</w:t>
      </w:r>
      <w:r>
        <w:rPr>
          <w:rFonts w:hint="eastAsia" w:cs="仿宋" w:asciiTheme="minorEastAsia" w:hAnsiTheme="minorEastAsia" w:eastAsiaTheme="minorEastAsia"/>
          <w:sz w:val="24"/>
          <w:szCs w:val="24"/>
          <w:u w:val="dotted"/>
        </w:rPr>
        <w:t xml:space="preserve">               </w:t>
      </w:r>
    </w:p>
    <w:p w14:paraId="34407CFE">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采购人名称：</w:t>
      </w:r>
      <w:r>
        <w:rPr>
          <w:rFonts w:hint="eastAsia" w:cs="仿宋" w:asciiTheme="minorEastAsia" w:hAnsiTheme="minorEastAsia" w:eastAsiaTheme="minorEastAsia"/>
          <w:sz w:val="24"/>
          <w:szCs w:val="24"/>
          <w:u w:val="dotted"/>
        </w:rPr>
        <w:t xml:space="preserve">                                        </w:t>
      </w:r>
    </w:p>
    <w:p w14:paraId="2817596B">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采购文件获取日期：</w:t>
      </w:r>
      <w:r>
        <w:rPr>
          <w:rFonts w:hint="eastAsia" w:cs="仿宋" w:asciiTheme="minorEastAsia" w:hAnsiTheme="minorEastAsia" w:eastAsiaTheme="minorEastAsia"/>
          <w:sz w:val="24"/>
          <w:szCs w:val="24"/>
          <w:u w:val="dotted"/>
        </w:rPr>
        <w:t xml:space="preserve">                                  </w:t>
      </w:r>
    </w:p>
    <w:p w14:paraId="5C80E92D">
      <w:pPr>
        <w:adjustRightInd w:val="0"/>
        <w:snapToGrid w:val="0"/>
        <w:spacing w:line="360" w:lineRule="auto"/>
        <w:outlineLvl w:val="1"/>
        <w:rPr>
          <w:rFonts w:cs="仿宋" w:asciiTheme="minorEastAsia" w:hAnsiTheme="minorEastAsia" w:eastAsiaTheme="minorEastAsia"/>
          <w:b/>
          <w:bCs/>
          <w:sz w:val="24"/>
          <w:szCs w:val="24"/>
        </w:rPr>
      </w:pPr>
      <w:bookmarkStart w:id="269" w:name="_Toc6486"/>
      <w:bookmarkStart w:id="270" w:name="_Toc20587"/>
      <w:r>
        <w:rPr>
          <w:rFonts w:hint="eastAsia" w:cs="仿宋" w:asciiTheme="minorEastAsia" w:hAnsiTheme="minorEastAsia" w:eastAsiaTheme="minorEastAsia"/>
          <w:b/>
          <w:bCs/>
          <w:sz w:val="24"/>
          <w:szCs w:val="24"/>
        </w:rPr>
        <w:t>三、质疑事项具体内容</w:t>
      </w:r>
      <w:bookmarkEnd w:id="269"/>
      <w:bookmarkEnd w:id="270"/>
    </w:p>
    <w:p w14:paraId="0B31388E">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质疑事项1：</w:t>
      </w:r>
      <w:r>
        <w:rPr>
          <w:rFonts w:hint="eastAsia" w:cs="仿宋" w:asciiTheme="minorEastAsia" w:hAnsiTheme="minorEastAsia" w:eastAsiaTheme="minorEastAsia"/>
          <w:sz w:val="24"/>
          <w:szCs w:val="24"/>
          <w:u w:val="dotted"/>
        </w:rPr>
        <w:t xml:space="preserve">                                         </w:t>
      </w:r>
    </w:p>
    <w:p w14:paraId="6D6FC837">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事实依据：</w:t>
      </w:r>
      <w:r>
        <w:rPr>
          <w:rFonts w:hint="eastAsia" w:cs="仿宋" w:asciiTheme="minorEastAsia" w:hAnsiTheme="minorEastAsia" w:eastAsiaTheme="minorEastAsia"/>
          <w:sz w:val="24"/>
          <w:szCs w:val="24"/>
          <w:u w:val="dotted"/>
        </w:rPr>
        <w:t xml:space="preserve">                                          </w:t>
      </w:r>
    </w:p>
    <w:p w14:paraId="341944A0">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u w:val="dotted"/>
        </w:rPr>
        <w:t xml:space="preserve">                                                    </w:t>
      </w:r>
    </w:p>
    <w:p w14:paraId="0989437D">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法律依据：</w:t>
      </w:r>
      <w:r>
        <w:rPr>
          <w:rFonts w:hint="eastAsia" w:cs="仿宋" w:asciiTheme="minorEastAsia" w:hAnsiTheme="minorEastAsia" w:eastAsiaTheme="minorEastAsia"/>
          <w:sz w:val="24"/>
          <w:szCs w:val="24"/>
          <w:u w:val="dotted"/>
        </w:rPr>
        <w:t xml:space="preserve">                                          </w:t>
      </w:r>
    </w:p>
    <w:p w14:paraId="4713220A">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u w:val="dotted"/>
        </w:rPr>
        <w:t xml:space="preserve">                                                    </w:t>
      </w:r>
    </w:p>
    <w:p w14:paraId="58C42613">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质疑事项2</w:t>
      </w:r>
    </w:p>
    <w:p w14:paraId="28182CF1">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5A3D1FA3">
      <w:pPr>
        <w:adjustRightInd w:val="0"/>
        <w:snapToGrid w:val="0"/>
        <w:spacing w:line="360" w:lineRule="auto"/>
        <w:outlineLvl w:val="1"/>
        <w:rPr>
          <w:rFonts w:cs="仿宋" w:asciiTheme="minorEastAsia" w:hAnsiTheme="minorEastAsia" w:eastAsiaTheme="minorEastAsia"/>
          <w:b/>
          <w:bCs/>
          <w:sz w:val="24"/>
          <w:szCs w:val="24"/>
        </w:rPr>
      </w:pPr>
      <w:bookmarkStart w:id="271" w:name="_Toc20470"/>
      <w:bookmarkStart w:id="272" w:name="_Toc32755"/>
      <w:r>
        <w:rPr>
          <w:rFonts w:hint="eastAsia" w:cs="仿宋" w:asciiTheme="minorEastAsia" w:hAnsiTheme="minorEastAsia" w:eastAsiaTheme="minorEastAsia"/>
          <w:b/>
          <w:bCs/>
          <w:sz w:val="24"/>
          <w:szCs w:val="24"/>
        </w:rPr>
        <w:t>四、与质疑事项相关的质疑请求</w:t>
      </w:r>
      <w:bookmarkEnd w:id="271"/>
      <w:bookmarkEnd w:id="272"/>
    </w:p>
    <w:p w14:paraId="661CA093">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请求：</w:t>
      </w:r>
      <w:r>
        <w:rPr>
          <w:rFonts w:hint="eastAsia" w:cs="仿宋" w:asciiTheme="minorEastAsia" w:hAnsiTheme="minorEastAsia" w:eastAsiaTheme="minorEastAsia"/>
          <w:sz w:val="24"/>
          <w:szCs w:val="24"/>
          <w:u w:val="dotted"/>
        </w:rPr>
        <w:t xml:space="preserve">                                              </w:t>
      </w:r>
    </w:p>
    <w:p w14:paraId="060BDB4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签字(签章)：                   公章：                      </w:t>
      </w:r>
    </w:p>
    <w:p w14:paraId="5EE5231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p w14:paraId="72B125AC">
      <w:pPr>
        <w:widowControl/>
        <w:jc w:val="left"/>
        <w:rPr>
          <w:rFonts w:ascii="仿宋" w:hAnsi="仿宋" w:eastAsia="仿宋" w:cs="仿宋"/>
          <w:sz w:val="32"/>
          <w:szCs w:val="32"/>
        </w:rPr>
      </w:pPr>
      <w:r>
        <w:rPr>
          <w:rFonts w:ascii="仿宋" w:hAnsi="仿宋" w:eastAsia="仿宋" w:cs="仿宋"/>
          <w:sz w:val="32"/>
          <w:szCs w:val="32"/>
        </w:rPr>
        <w:br w:type="page"/>
      </w:r>
    </w:p>
    <w:p w14:paraId="34425E54">
      <w:pPr>
        <w:outlineLvl w:val="0"/>
        <w:rPr>
          <w:rFonts w:asciiTheme="minorEastAsia" w:hAnsiTheme="minorEastAsia" w:eastAsiaTheme="minorEastAsia"/>
          <w:b/>
          <w:sz w:val="28"/>
          <w:szCs w:val="32"/>
        </w:rPr>
      </w:pPr>
      <w:bookmarkStart w:id="273" w:name="_Toc8368"/>
      <w:bookmarkStart w:id="274" w:name="_Toc21667"/>
      <w:r>
        <w:rPr>
          <w:rFonts w:hint="eastAsia" w:asciiTheme="minorEastAsia" w:hAnsiTheme="minorEastAsia" w:eastAsiaTheme="minorEastAsia"/>
          <w:b/>
          <w:sz w:val="28"/>
          <w:szCs w:val="32"/>
        </w:rPr>
        <w:t>质疑函制作说明：</w:t>
      </w:r>
      <w:bookmarkEnd w:id="273"/>
      <w:bookmarkEnd w:id="274"/>
    </w:p>
    <w:p w14:paraId="33C724F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71B9004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EE8B67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30FB247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5F076DC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3AC18A5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bookmarkStart w:id="275" w:name="_Toc17211"/>
      <w:bookmarkStart w:id="276" w:name="_Toc3494"/>
    </w:p>
    <w:p w14:paraId="5B4F7BF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br w:type="textWrapping"/>
      </w:r>
    </w:p>
    <w:bookmarkEnd w:id="275"/>
    <w:bookmarkEnd w:id="276"/>
    <w:p w14:paraId="5CD702E7">
      <w:pPr>
        <w:rPr>
          <w:rFonts w:eastAsiaTheme="minorEastAsia"/>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3DF0B">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53EA6">
    <w:pPr>
      <w:pStyle w:val="17"/>
      <w:rPr>
        <w:rFonts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posOffset>2157730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4835A">
                          <w:pPr>
                            <w:pStyle w:val="17"/>
                            <w:rPr>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66</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69.9pt;margin-top:0pt;height:144pt;width:144pt;mso-position-horizontal-relative:margin;mso-wrap-style:none;z-index:251659264;mso-width-relative:page;mso-height-relative:page;" filled="f" stroked="f" coordsize="21600,21600" o:gfxdata="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aHXLAsb&#10;/WB5hI7iebvcBwiYdI2i9EqctUK3pcqcJyO285/7FPX4N1j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cAboDVAAAACAEAAA8AAAAAAAAAAQAgAAAAIgAAAGRycy9kb3ducmV2LnhtbFBLAQIUABQA&#10;AAAIAIdO4kAXDIm4LAIAAFUEAAAOAAAAAAAAAAEAIAAAACQBAABkcnMvZTJvRG9jLnhtbFBLBQYA&#10;AAAABgAGAFkBAADCBQAAAAA=&#10;">
              <v:fill on="f" focussize="0,0"/>
              <v:stroke on="f" weight="0.5pt"/>
              <v:imagedata o:title=""/>
              <o:lock v:ext="edit" aspectratio="f"/>
              <v:textbox inset="0mm,0mm,0mm,0mm" style="mso-fit-shape-to-text:t;">
                <w:txbxContent>
                  <w:p w14:paraId="2FA4835A">
                    <w:pPr>
                      <w:pStyle w:val="17"/>
                      <w:rPr>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66</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7B35E">
    <w:pPr>
      <w:pStyle w:val="18"/>
      <w:jc w:val="left"/>
    </w:pPr>
    <w:r>
      <w:rPr>
        <w:rFonts w:hint="eastAsia" w:asciiTheme="minorEastAsia" w:hAnsiTheme="minorEastAsia" w:eastAsiaTheme="minorEastAsia"/>
      </w:rPr>
      <w:t>安徽省政府采购项目竞争性磋商文件示范文本（服务类）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0F812">
    <w:pPr>
      <w:pStyle w:val="18"/>
      <w:jc w:val="left"/>
    </w:pPr>
    <w:r>
      <w:rPr>
        <w:rFonts w:hint="eastAsia" w:asciiTheme="minorEastAsia" w:hAnsiTheme="minorEastAsia" w:eastAsiaTheme="minorEastAsia"/>
      </w:rPr>
      <w:t>安徽省政府采购项目竞争性磋商文件示范文本（服务类）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zM2VlYTI0ZjhkY2Y3ZGU2ZDE1MmUwZGQzMDM3ZWUifQ=="/>
  </w:docVars>
  <w:rsids>
    <w:rsidRoot w:val="00276BA1"/>
    <w:rsid w:val="0000043F"/>
    <w:rsid w:val="000037F9"/>
    <w:rsid w:val="0000451F"/>
    <w:rsid w:val="000049DA"/>
    <w:rsid w:val="00005403"/>
    <w:rsid w:val="000056B7"/>
    <w:rsid w:val="00007D87"/>
    <w:rsid w:val="000131F7"/>
    <w:rsid w:val="00014039"/>
    <w:rsid w:val="00016B6C"/>
    <w:rsid w:val="00020B57"/>
    <w:rsid w:val="00020B6D"/>
    <w:rsid w:val="000323E2"/>
    <w:rsid w:val="00040C25"/>
    <w:rsid w:val="00042139"/>
    <w:rsid w:val="00042B14"/>
    <w:rsid w:val="00044F49"/>
    <w:rsid w:val="000450C3"/>
    <w:rsid w:val="00050A3F"/>
    <w:rsid w:val="00052F95"/>
    <w:rsid w:val="00054AA3"/>
    <w:rsid w:val="00056ECB"/>
    <w:rsid w:val="00057B40"/>
    <w:rsid w:val="00061D37"/>
    <w:rsid w:val="000648D2"/>
    <w:rsid w:val="00067EDD"/>
    <w:rsid w:val="00070E0E"/>
    <w:rsid w:val="0007146E"/>
    <w:rsid w:val="00076DB7"/>
    <w:rsid w:val="00080FEB"/>
    <w:rsid w:val="000839A6"/>
    <w:rsid w:val="000870E4"/>
    <w:rsid w:val="00092152"/>
    <w:rsid w:val="00093192"/>
    <w:rsid w:val="000944CE"/>
    <w:rsid w:val="00094D41"/>
    <w:rsid w:val="00097CB9"/>
    <w:rsid w:val="000A0161"/>
    <w:rsid w:val="000A10A9"/>
    <w:rsid w:val="000A4A30"/>
    <w:rsid w:val="000A6693"/>
    <w:rsid w:val="000A7970"/>
    <w:rsid w:val="000A7D94"/>
    <w:rsid w:val="000B1511"/>
    <w:rsid w:val="000B2BD7"/>
    <w:rsid w:val="000B2F88"/>
    <w:rsid w:val="000B50F9"/>
    <w:rsid w:val="000B6249"/>
    <w:rsid w:val="000C1DB1"/>
    <w:rsid w:val="000D19EC"/>
    <w:rsid w:val="000D2F86"/>
    <w:rsid w:val="000D3F37"/>
    <w:rsid w:val="000D5C7A"/>
    <w:rsid w:val="000E3C74"/>
    <w:rsid w:val="000E3F9B"/>
    <w:rsid w:val="000E478E"/>
    <w:rsid w:val="000E6689"/>
    <w:rsid w:val="000F0EBF"/>
    <w:rsid w:val="000F172B"/>
    <w:rsid w:val="000F2198"/>
    <w:rsid w:val="000F39B6"/>
    <w:rsid w:val="000F3A94"/>
    <w:rsid w:val="000F6B7B"/>
    <w:rsid w:val="000F6F95"/>
    <w:rsid w:val="0010021F"/>
    <w:rsid w:val="00100B0F"/>
    <w:rsid w:val="0010187C"/>
    <w:rsid w:val="0010219C"/>
    <w:rsid w:val="001037E3"/>
    <w:rsid w:val="00107022"/>
    <w:rsid w:val="0011285A"/>
    <w:rsid w:val="0011660B"/>
    <w:rsid w:val="00116BB2"/>
    <w:rsid w:val="0012143A"/>
    <w:rsid w:val="00121A2D"/>
    <w:rsid w:val="0012203E"/>
    <w:rsid w:val="001258BA"/>
    <w:rsid w:val="00127B7A"/>
    <w:rsid w:val="00130601"/>
    <w:rsid w:val="00132F4D"/>
    <w:rsid w:val="00133EA0"/>
    <w:rsid w:val="001366F2"/>
    <w:rsid w:val="00137249"/>
    <w:rsid w:val="00140687"/>
    <w:rsid w:val="00146421"/>
    <w:rsid w:val="00147A02"/>
    <w:rsid w:val="0015091C"/>
    <w:rsid w:val="00153B20"/>
    <w:rsid w:val="00155F64"/>
    <w:rsid w:val="00157856"/>
    <w:rsid w:val="00160729"/>
    <w:rsid w:val="00163A61"/>
    <w:rsid w:val="0016455F"/>
    <w:rsid w:val="00165398"/>
    <w:rsid w:val="00166794"/>
    <w:rsid w:val="00166ED8"/>
    <w:rsid w:val="001714C9"/>
    <w:rsid w:val="00171515"/>
    <w:rsid w:val="00172A63"/>
    <w:rsid w:val="00172B93"/>
    <w:rsid w:val="001768BC"/>
    <w:rsid w:val="0018119B"/>
    <w:rsid w:val="00181386"/>
    <w:rsid w:val="001844AB"/>
    <w:rsid w:val="001853C7"/>
    <w:rsid w:val="00192879"/>
    <w:rsid w:val="001944B8"/>
    <w:rsid w:val="001967D2"/>
    <w:rsid w:val="00196DA3"/>
    <w:rsid w:val="001970C3"/>
    <w:rsid w:val="001971E5"/>
    <w:rsid w:val="001A0C0F"/>
    <w:rsid w:val="001A3DBA"/>
    <w:rsid w:val="001A68E5"/>
    <w:rsid w:val="001B2A54"/>
    <w:rsid w:val="001B2BA4"/>
    <w:rsid w:val="001B5014"/>
    <w:rsid w:val="001B7327"/>
    <w:rsid w:val="001B7B53"/>
    <w:rsid w:val="001C2A15"/>
    <w:rsid w:val="001C34BE"/>
    <w:rsid w:val="001C45C6"/>
    <w:rsid w:val="001C4CE3"/>
    <w:rsid w:val="001D22EA"/>
    <w:rsid w:val="001D53B4"/>
    <w:rsid w:val="001E1835"/>
    <w:rsid w:val="001E77A5"/>
    <w:rsid w:val="001F28D2"/>
    <w:rsid w:val="001F2F45"/>
    <w:rsid w:val="001F3023"/>
    <w:rsid w:val="001F35F6"/>
    <w:rsid w:val="001F4156"/>
    <w:rsid w:val="001F4AAF"/>
    <w:rsid w:val="001F543E"/>
    <w:rsid w:val="001F74CA"/>
    <w:rsid w:val="001F7590"/>
    <w:rsid w:val="002003B6"/>
    <w:rsid w:val="002014D7"/>
    <w:rsid w:val="0020244A"/>
    <w:rsid w:val="00202B12"/>
    <w:rsid w:val="002049B4"/>
    <w:rsid w:val="0020520B"/>
    <w:rsid w:val="002076AD"/>
    <w:rsid w:val="00213C55"/>
    <w:rsid w:val="00223AD9"/>
    <w:rsid w:val="00223CF4"/>
    <w:rsid w:val="00223F89"/>
    <w:rsid w:val="00224B69"/>
    <w:rsid w:val="00224C4A"/>
    <w:rsid w:val="00226630"/>
    <w:rsid w:val="00231187"/>
    <w:rsid w:val="0023407E"/>
    <w:rsid w:val="00240B40"/>
    <w:rsid w:val="00244182"/>
    <w:rsid w:val="002544A1"/>
    <w:rsid w:val="00257ECE"/>
    <w:rsid w:val="00260382"/>
    <w:rsid w:val="00260B94"/>
    <w:rsid w:val="00264F2E"/>
    <w:rsid w:val="00271245"/>
    <w:rsid w:val="00272BD6"/>
    <w:rsid w:val="00273F66"/>
    <w:rsid w:val="00274A9E"/>
    <w:rsid w:val="00274B70"/>
    <w:rsid w:val="00276BA1"/>
    <w:rsid w:val="00280984"/>
    <w:rsid w:val="00280D2D"/>
    <w:rsid w:val="002832CF"/>
    <w:rsid w:val="00283599"/>
    <w:rsid w:val="002835E3"/>
    <w:rsid w:val="00284542"/>
    <w:rsid w:val="002A14D1"/>
    <w:rsid w:val="002A1A1D"/>
    <w:rsid w:val="002A28AD"/>
    <w:rsid w:val="002B04FD"/>
    <w:rsid w:val="002B5318"/>
    <w:rsid w:val="002B6D27"/>
    <w:rsid w:val="002B7A09"/>
    <w:rsid w:val="002C060C"/>
    <w:rsid w:val="002C078A"/>
    <w:rsid w:val="002D05DD"/>
    <w:rsid w:val="002D0E4D"/>
    <w:rsid w:val="002D2965"/>
    <w:rsid w:val="002D3D02"/>
    <w:rsid w:val="002D4302"/>
    <w:rsid w:val="002D4CB5"/>
    <w:rsid w:val="002D5900"/>
    <w:rsid w:val="002D684B"/>
    <w:rsid w:val="002E2D3A"/>
    <w:rsid w:val="002E3B26"/>
    <w:rsid w:val="002E4AB8"/>
    <w:rsid w:val="002E7FC4"/>
    <w:rsid w:val="00310070"/>
    <w:rsid w:val="0031081B"/>
    <w:rsid w:val="003109E7"/>
    <w:rsid w:val="003110EC"/>
    <w:rsid w:val="00314289"/>
    <w:rsid w:val="003206A6"/>
    <w:rsid w:val="0032560D"/>
    <w:rsid w:val="00327AA4"/>
    <w:rsid w:val="00327C92"/>
    <w:rsid w:val="00333292"/>
    <w:rsid w:val="003344E7"/>
    <w:rsid w:val="0033580B"/>
    <w:rsid w:val="003365E7"/>
    <w:rsid w:val="003378D5"/>
    <w:rsid w:val="00344CDB"/>
    <w:rsid w:val="003473D7"/>
    <w:rsid w:val="00351995"/>
    <w:rsid w:val="00351AC8"/>
    <w:rsid w:val="00353075"/>
    <w:rsid w:val="00363E02"/>
    <w:rsid w:val="00373A96"/>
    <w:rsid w:val="003826C2"/>
    <w:rsid w:val="00383728"/>
    <w:rsid w:val="00384E57"/>
    <w:rsid w:val="00385647"/>
    <w:rsid w:val="003866FF"/>
    <w:rsid w:val="003903BB"/>
    <w:rsid w:val="0039195E"/>
    <w:rsid w:val="00392627"/>
    <w:rsid w:val="00394128"/>
    <w:rsid w:val="00394ADC"/>
    <w:rsid w:val="00395235"/>
    <w:rsid w:val="0039561A"/>
    <w:rsid w:val="00397C7D"/>
    <w:rsid w:val="003A004F"/>
    <w:rsid w:val="003A2158"/>
    <w:rsid w:val="003A3AC4"/>
    <w:rsid w:val="003B25A5"/>
    <w:rsid w:val="003B405A"/>
    <w:rsid w:val="003B4130"/>
    <w:rsid w:val="003B6FA1"/>
    <w:rsid w:val="003B715B"/>
    <w:rsid w:val="003C2C62"/>
    <w:rsid w:val="003C5566"/>
    <w:rsid w:val="003C577A"/>
    <w:rsid w:val="003C649D"/>
    <w:rsid w:val="003C7350"/>
    <w:rsid w:val="003C7C74"/>
    <w:rsid w:val="003D1D14"/>
    <w:rsid w:val="003D6C7C"/>
    <w:rsid w:val="003D6EFB"/>
    <w:rsid w:val="003D7E52"/>
    <w:rsid w:val="003E25C6"/>
    <w:rsid w:val="003F42BA"/>
    <w:rsid w:val="003F7528"/>
    <w:rsid w:val="003F75CE"/>
    <w:rsid w:val="004011AA"/>
    <w:rsid w:val="0040202C"/>
    <w:rsid w:val="00404A8F"/>
    <w:rsid w:val="00406508"/>
    <w:rsid w:val="004110F6"/>
    <w:rsid w:val="004134F8"/>
    <w:rsid w:val="0041456E"/>
    <w:rsid w:val="004148E3"/>
    <w:rsid w:val="00414F7E"/>
    <w:rsid w:val="004164F8"/>
    <w:rsid w:val="00417A01"/>
    <w:rsid w:val="004204F3"/>
    <w:rsid w:val="00422224"/>
    <w:rsid w:val="00425FA4"/>
    <w:rsid w:val="00426F05"/>
    <w:rsid w:val="004328E1"/>
    <w:rsid w:val="004427B7"/>
    <w:rsid w:val="0044349F"/>
    <w:rsid w:val="00445F1F"/>
    <w:rsid w:val="00447862"/>
    <w:rsid w:val="00451F60"/>
    <w:rsid w:val="00452BB2"/>
    <w:rsid w:val="00455060"/>
    <w:rsid w:val="00456054"/>
    <w:rsid w:val="0045656D"/>
    <w:rsid w:val="004617A4"/>
    <w:rsid w:val="00462D98"/>
    <w:rsid w:val="00463E7D"/>
    <w:rsid w:val="00472A44"/>
    <w:rsid w:val="00473A89"/>
    <w:rsid w:val="00475899"/>
    <w:rsid w:val="00480E8F"/>
    <w:rsid w:val="00482C78"/>
    <w:rsid w:val="00483ABC"/>
    <w:rsid w:val="0048634A"/>
    <w:rsid w:val="004874AE"/>
    <w:rsid w:val="0049056F"/>
    <w:rsid w:val="00492217"/>
    <w:rsid w:val="00494D24"/>
    <w:rsid w:val="004951D1"/>
    <w:rsid w:val="004960BB"/>
    <w:rsid w:val="004A1BA3"/>
    <w:rsid w:val="004A27D0"/>
    <w:rsid w:val="004A4D67"/>
    <w:rsid w:val="004A4DAB"/>
    <w:rsid w:val="004B7E79"/>
    <w:rsid w:val="004C13CB"/>
    <w:rsid w:val="004C1AAB"/>
    <w:rsid w:val="004C3C74"/>
    <w:rsid w:val="004C5B90"/>
    <w:rsid w:val="004D0F6F"/>
    <w:rsid w:val="004D3D4B"/>
    <w:rsid w:val="004D5498"/>
    <w:rsid w:val="004D5D1E"/>
    <w:rsid w:val="004D66A5"/>
    <w:rsid w:val="004D6B00"/>
    <w:rsid w:val="004E1D50"/>
    <w:rsid w:val="004E3266"/>
    <w:rsid w:val="004E38BA"/>
    <w:rsid w:val="004E50CA"/>
    <w:rsid w:val="004E7362"/>
    <w:rsid w:val="004F1A8D"/>
    <w:rsid w:val="004F27A0"/>
    <w:rsid w:val="004F5EF4"/>
    <w:rsid w:val="0050027D"/>
    <w:rsid w:val="00501382"/>
    <w:rsid w:val="005048FB"/>
    <w:rsid w:val="00510563"/>
    <w:rsid w:val="00510798"/>
    <w:rsid w:val="005119B5"/>
    <w:rsid w:val="005125F1"/>
    <w:rsid w:val="00524A11"/>
    <w:rsid w:val="00527768"/>
    <w:rsid w:val="00530EA4"/>
    <w:rsid w:val="005327FB"/>
    <w:rsid w:val="00533251"/>
    <w:rsid w:val="00533FCA"/>
    <w:rsid w:val="005346EF"/>
    <w:rsid w:val="00542F0C"/>
    <w:rsid w:val="00545E8B"/>
    <w:rsid w:val="005470D4"/>
    <w:rsid w:val="0055705E"/>
    <w:rsid w:val="005616B5"/>
    <w:rsid w:val="00566690"/>
    <w:rsid w:val="005666F9"/>
    <w:rsid w:val="00567574"/>
    <w:rsid w:val="005679A4"/>
    <w:rsid w:val="005724BE"/>
    <w:rsid w:val="00574CE6"/>
    <w:rsid w:val="00583596"/>
    <w:rsid w:val="0058470F"/>
    <w:rsid w:val="0059223D"/>
    <w:rsid w:val="0059365B"/>
    <w:rsid w:val="00593ABC"/>
    <w:rsid w:val="00596150"/>
    <w:rsid w:val="00597B15"/>
    <w:rsid w:val="005A044C"/>
    <w:rsid w:val="005A149F"/>
    <w:rsid w:val="005A3A32"/>
    <w:rsid w:val="005B2C9F"/>
    <w:rsid w:val="005B34C9"/>
    <w:rsid w:val="005B571E"/>
    <w:rsid w:val="005C1D52"/>
    <w:rsid w:val="005C46AC"/>
    <w:rsid w:val="005D0200"/>
    <w:rsid w:val="005D2FC2"/>
    <w:rsid w:val="005D44EF"/>
    <w:rsid w:val="005D5112"/>
    <w:rsid w:val="005D5D67"/>
    <w:rsid w:val="005F34CC"/>
    <w:rsid w:val="005F3914"/>
    <w:rsid w:val="005F3B5A"/>
    <w:rsid w:val="005F6AB4"/>
    <w:rsid w:val="0060649B"/>
    <w:rsid w:val="00607471"/>
    <w:rsid w:val="00610A66"/>
    <w:rsid w:val="006119B8"/>
    <w:rsid w:val="00613177"/>
    <w:rsid w:val="00613F7C"/>
    <w:rsid w:val="00614BF2"/>
    <w:rsid w:val="0061557C"/>
    <w:rsid w:val="00615BE7"/>
    <w:rsid w:val="00623DE2"/>
    <w:rsid w:val="00625F99"/>
    <w:rsid w:val="00627601"/>
    <w:rsid w:val="006300D0"/>
    <w:rsid w:val="00631F72"/>
    <w:rsid w:val="00632012"/>
    <w:rsid w:val="00634694"/>
    <w:rsid w:val="00636517"/>
    <w:rsid w:val="00636EE7"/>
    <w:rsid w:val="00637690"/>
    <w:rsid w:val="00640E1E"/>
    <w:rsid w:val="0064389A"/>
    <w:rsid w:val="00645442"/>
    <w:rsid w:val="006525CD"/>
    <w:rsid w:val="00653F7F"/>
    <w:rsid w:val="00657F8E"/>
    <w:rsid w:val="00662DCD"/>
    <w:rsid w:val="00662EE8"/>
    <w:rsid w:val="00663813"/>
    <w:rsid w:val="00664AFD"/>
    <w:rsid w:val="00667567"/>
    <w:rsid w:val="00667E3D"/>
    <w:rsid w:val="0067391A"/>
    <w:rsid w:val="00674173"/>
    <w:rsid w:val="0067534F"/>
    <w:rsid w:val="00677D87"/>
    <w:rsid w:val="006834FA"/>
    <w:rsid w:val="00690DB1"/>
    <w:rsid w:val="00693404"/>
    <w:rsid w:val="006953D9"/>
    <w:rsid w:val="006A1269"/>
    <w:rsid w:val="006A5803"/>
    <w:rsid w:val="006A69C3"/>
    <w:rsid w:val="006A7C15"/>
    <w:rsid w:val="006B08A7"/>
    <w:rsid w:val="006B1242"/>
    <w:rsid w:val="006B1DBC"/>
    <w:rsid w:val="006B2029"/>
    <w:rsid w:val="006B3712"/>
    <w:rsid w:val="006B7D9A"/>
    <w:rsid w:val="006C06D9"/>
    <w:rsid w:val="006C2F1C"/>
    <w:rsid w:val="006C3E22"/>
    <w:rsid w:val="006C5716"/>
    <w:rsid w:val="006C64B2"/>
    <w:rsid w:val="006C73A5"/>
    <w:rsid w:val="006C74A9"/>
    <w:rsid w:val="006D07DE"/>
    <w:rsid w:val="006D361A"/>
    <w:rsid w:val="006D6A81"/>
    <w:rsid w:val="006E06D9"/>
    <w:rsid w:val="006E1D40"/>
    <w:rsid w:val="006E2E1F"/>
    <w:rsid w:val="006E5059"/>
    <w:rsid w:val="006E69FB"/>
    <w:rsid w:val="006E7D21"/>
    <w:rsid w:val="006F5F03"/>
    <w:rsid w:val="006F5FFF"/>
    <w:rsid w:val="0070399F"/>
    <w:rsid w:val="00710804"/>
    <w:rsid w:val="00711FC6"/>
    <w:rsid w:val="00712952"/>
    <w:rsid w:val="007130B1"/>
    <w:rsid w:val="00713487"/>
    <w:rsid w:val="00715071"/>
    <w:rsid w:val="00715929"/>
    <w:rsid w:val="007231E9"/>
    <w:rsid w:val="00724F0E"/>
    <w:rsid w:val="0072581E"/>
    <w:rsid w:val="007270A6"/>
    <w:rsid w:val="00727C59"/>
    <w:rsid w:val="00733730"/>
    <w:rsid w:val="00734E5D"/>
    <w:rsid w:val="00735076"/>
    <w:rsid w:val="00736013"/>
    <w:rsid w:val="00736D99"/>
    <w:rsid w:val="00737BF8"/>
    <w:rsid w:val="0074339B"/>
    <w:rsid w:val="00743DFF"/>
    <w:rsid w:val="0074478E"/>
    <w:rsid w:val="00750B60"/>
    <w:rsid w:val="00756245"/>
    <w:rsid w:val="00756979"/>
    <w:rsid w:val="00761662"/>
    <w:rsid w:val="00764043"/>
    <w:rsid w:val="00766A36"/>
    <w:rsid w:val="007757CF"/>
    <w:rsid w:val="007769F6"/>
    <w:rsid w:val="00780F9D"/>
    <w:rsid w:val="0078128F"/>
    <w:rsid w:val="007819D9"/>
    <w:rsid w:val="0078683C"/>
    <w:rsid w:val="0078758D"/>
    <w:rsid w:val="00790EDB"/>
    <w:rsid w:val="00791538"/>
    <w:rsid w:val="0079326E"/>
    <w:rsid w:val="00796EDE"/>
    <w:rsid w:val="00797140"/>
    <w:rsid w:val="007A5A58"/>
    <w:rsid w:val="007B1C56"/>
    <w:rsid w:val="007B2EDC"/>
    <w:rsid w:val="007B4319"/>
    <w:rsid w:val="007B737E"/>
    <w:rsid w:val="007B7D68"/>
    <w:rsid w:val="007C1DD7"/>
    <w:rsid w:val="007C3CD5"/>
    <w:rsid w:val="007C3CE1"/>
    <w:rsid w:val="007C453E"/>
    <w:rsid w:val="007C4756"/>
    <w:rsid w:val="007C5E88"/>
    <w:rsid w:val="007C61EF"/>
    <w:rsid w:val="007C6783"/>
    <w:rsid w:val="007D03DE"/>
    <w:rsid w:val="007D1C0D"/>
    <w:rsid w:val="007D2D23"/>
    <w:rsid w:val="007E1AE9"/>
    <w:rsid w:val="007E27D6"/>
    <w:rsid w:val="007E3921"/>
    <w:rsid w:val="00801028"/>
    <w:rsid w:val="00803793"/>
    <w:rsid w:val="00804000"/>
    <w:rsid w:val="008101A2"/>
    <w:rsid w:val="008136D7"/>
    <w:rsid w:val="008167E6"/>
    <w:rsid w:val="008167EA"/>
    <w:rsid w:val="00817A01"/>
    <w:rsid w:val="00820937"/>
    <w:rsid w:val="00825E35"/>
    <w:rsid w:val="008275B3"/>
    <w:rsid w:val="00830A4E"/>
    <w:rsid w:val="008334F8"/>
    <w:rsid w:val="00835FFD"/>
    <w:rsid w:val="0084381F"/>
    <w:rsid w:val="00843E35"/>
    <w:rsid w:val="008524CE"/>
    <w:rsid w:val="00857633"/>
    <w:rsid w:val="0086440C"/>
    <w:rsid w:val="008674ED"/>
    <w:rsid w:val="00874EE6"/>
    <w:rsid w:val="00876008"/>
    <w:rsid w:val="00876659"/>
    <w:rsid w:val="0087734C"/>
    <w:rsid w:val="00881876"/>
    <w:rsid w:val="00882141"/>
    <w:rsid w:val="00886BD4"/>
    <w:rsid w:val="008876EC"/>
    <w:rsid w:val="00887F07"/>
    <w:rsid w:val="008922A8"/>
    <w:rsid w:val="00895BD5"/>
    <w:rsid w:val="008A16C4"/>
    <w:rsid w:val="008A4A27"/>
    <w:rsid w:val="008A649F"/>
    <w:rsid w:val="008A6FED"/>
    <w:rsid w:val="008B39C5"/>
    <w:rsid w:val="008B51AA"/>
    <w:rsid w:val="008B7E1C"/>
    <w:rsid w:val="008C67F2"/>
    <w:rsid w:val="008D064A"/>
    <w:rsid w:val="008D2537"/>
    <w:rsid w:val="008D2B0F"/>
    <w:rsid w:val="008D633C"/>
    <w:rsid w:val="008E449E"/>
    <w:rsid w:val="008E4BDD"/>
    <w:rsid w:val="008E6B42"/>
    <w:rsid w:val="008E770C"/>
    <w:rsid w:val="008E7BC8"/>
    <w:rsid w:val="008F187F"/>
    <w:rsid w:val="008F402F"/>
    <w:rsid w:val="008F54AD"/>
    <w:rsid w:val="008F76E8"/>
    <w:rsid w:val="00904508"/>
    <w:rsid w:val="009078A1"/>
    <w:rsid w:val="00911E9C"/>
    <w:rsid w:val="00917405"/>
    <w:rsid w:val="009179B3"/>
    <w:rsid w:val="00920C1F"/>
    <w:rsid w:val="00920F7C"/>
    <w:rsid w:val="00922718"/>
    <w:rsid w:val="00924743"/>
    <w:rsid w:val="00932A87"/>
    <w:rsid w:val="00934CAE"/>
    <w:rsid w:val="0093560E"/>
    <w:rsid w:val="009406C2"/>
    <w:rsid w:val="0094257D"/>
    <w:rsid w:val="009443B6"/>
    <w:rsid w:val="00946F68"/>
    <w:rsid w:val="0095467C"/>
    <w:rsid w:val="00954A61"/>
    <w:rsid w:val="00955C6F"/>
    <w:rsid w:val="009654A1"/>
    <w:rsid w:val="00966B67"/>
    <w:rsid w:val="00966C7B"/>
    <w:rsid w:val="009701DC"/>
    <w:rsid w:val="009715D8"/>
    <w:rsid w:val="009736D0"/>
    <w:rsid w:val="0097453E"/>
    <w:rsid w:val="009811A8"/>
    <w:rsid w:val="009823D9"/>
    <w:rsid w:val="00985E14"/>
    <w:rsid w:val="00991460"/>
    <w:rsid w:val="00995BF9"/>
    <w:rsid w:val="009975CC"/>
    <w:rsid w:val="009A0CAF"/>
    <w:rsid w:val="009A2207"/>
    <w:rsid w:val="009A2D34"/>
    <w:rsid w:val="009A3A14"/>
    <w:rsid w:val="009A6565"/>
    <w:rsid w:val="009A7067"/>
    <w:rsid w:val="009A739C"/>
    <w:rsid w:val="009A7E69"/>
    <w:rsid w:val="009B0EDA"/>
    <w:rsid w:val="009B40C4"/>
    <w:rsid w:val="009B6C42"/>
    <w:rsid w:val="009B7F1A"/>
    <w:rsid w:val="009D2998"/>
    <w:rsid w:val="009D31F7"/>
    <w:rsid w:val="009D32C2"/>
    <w:rsid w:val="009D50DB"/>
    <w:rsid w:val="009D540E"/>
    <w:rsid w:val="009E1600"/>
    <w:rsid w:val="009E2932"/>
    <w:rsid w:val="009E3A0A"/>
    <w:rsid w:val="009E4767"/>
    <w:rsid w:val="009F1936"/>
    <w:rsid w:val="009F19E3"/>
    <w:rsid w:val="009F3E91"/>
    <w:rsid w:val="009F704E"/>
    <w:rsid w:val="009F7399"/>
    <w:rsid w:val="00A0057C"/>
    <w:rsid w:val="00A008DA"/>
    <w:rsid w:val="00A00C93"/>
    <w:rsid w:val="00A0571E"/>
    <w:rsid w:val="00A13A27"/>
    <w:rsid w:val="00A1499B"/>
    <w:rsid w:val="00A170D8"/>
    <w:rsid w:val="00A27116"/>
    <w:rsid w:val="00A30A1B"/>
    <w:rsid w:val="00A311AD"/>
    <w:rsid w:val="00A314C2"/>
    <w:rsid w:val="00A31825"/>
    <w:rsid w:val="00A35BBC"/>
    <w:rsid w:val="00A501BF"/>
    <w:rsid w:val="00A519A0"/>
    <w:rsid w:val="00A5274A"/>
    <w:rsid w:val="00A62A2E"/>
    <w:rsid w:val="00A62CE5"/>
    <w:rsid w:val="00A63A4D"/>
    <w:rsid w:val="00A63E86"/>
    <w:rsid w:val="00A67AF7"/>
    <w:rsid w:val="00A7147F"/>
    <w:rsid w:val="00A75185"/>
    <w:rsid w:val="00A754A0"/>
    <w:rsid w:val="00A757C3"/>
    <w:rsid w:val="00A75E5B"/>
    <w:rsid w:val="00A75F4B"/>
    <w:rsid w:val="00A7684A"/>
    <w:rsid w:val="00A83B69"/>
    <w:rsid w:val="00A86533"/>
    <w:rsid w:val="00A91CA2"/>
    <w:rsid w:val="00A92FB8"/>
    <w:rsid w:val="00A942FD"/>
    <w:rsid w:val="00A948F1"/>
    <w:rsid w:val="00AA0BE3"/>
    <w:rsid w:val="00AA18F9"/>
    <w:rsid w:val="00AA1D7D"/>
    <w:rsid w:val="00AA2790"/>
    <w:rsid w:val="00AA3806"/>
    <w:rsid w:val="00AB139D"/>
    <w:rsid w:val="00AB2A35"/>
    <w:rsid w:val="00AB2D05"/>
    <w:rsid w:val="00AB3EFB"/>
    <w:rsid w:val="00AC0B05"/>
    <w:rsid w:val="00AC1962"/>
    <w:rsid w:val="00AC7F9D"/>
    <w:rsid w:val="00AD079A"/>
    <w:rsid w:val="00AD0825"/>
    <w:rsid w:val="00AD1890"/>
    <w:rsid w:val="00AE2149"/>
    <w:rsid w:val="00AE2BF3"/>
    <w:rsid w:val="00AE33AE"/>
    <w:rsid w:val="00AE3986"/>
    <w:rsid w:val="00AE3F91"/>
    <w:rsid w:val="00AF5B63"/>
    <w:rsid w:val="00AF6F93"/>
    <w:rsid w:val="00B0053D"/>
    <w:rsid w:val="00B007D0"/>
    <w:rsid w:val="00B01176"/>
    <w:rsid w:val="00B039E3"/>
    <w:rsid w:val="00B06D36"/>
    <w:rsid w:val="00B077A1"/>
    <w:rsid w:val="00B07CBF"/>
    <w:rsid w:val="00B12BC4"/>
    <w:rsid w:val="00B22838"/>
    <w:rsid w:val="00B308AD"/>
    <w:rsid w:val="00B33E8F"/>
    <w:rsid w:val="00B33E95"/>
    <w:rsid w:val="00B3416E"/>
    <w:rsid w:val="00B3720B"/>
    <w:rsid w:val="00B4353B"/>
    <w:rsid w:val="00B45D0B"/>
    <w:rsid w:val="00B52FA0"/>
    <w:rsid w:val="00B5558A"/>
    <w:rsid w:val="00B56513"/>
    <w:rsid w:val="00B61B64"/>
    <w:rsid w:val="00B631E4"/>
    <w:rsid w:val="00B64376"/>
    <w:rsid w:val="00B6570C"/>
    <w:rsid w:val="00B6790B"/>
    <w:rsid w:val="00B7401F"/>
    <w:rsid w:val="00B75FA8"/>
    <w:rsid w:val="00B769CF"/>
    <w:rsid w:val="00B806C3"/>
    <w:rsid w:val="00B80D6F"/>
    <w:rsid w:val="00B84FCA"/>
    <w:rsid w:val="00B9089F"/>
    <w:rsid w:val="00B91826"/>
    <w:rsid w:val="00B91AEE"/>
    <w:rsid w:val="00B95F5A"/>
    <w:rsid w:val="00B96EAD"/>
    <w:rsid w:val="00BA4962"/>
    <w:rsid w:val="00BA4B7C"/>
    <w:rsid w:val="00BA79F5"/>
    <w:rsid w:val="00BA7EA7"/>
    <w:rsid w:val="00BB2E28"/>
    <w:rsid w:val="00BB3AB6"/>
    <w:rsid w:val="00BB766D"/>
    <w:rsid w:val="00BC007B"/>
    <w:rsid w:val="00BC1715"/>
    <w:rsid w:val="00BC26BA"/>
    <w:rsid w:val="00BC35F8"/>
    <w:rsid w:val="00BC481B"/>
    <w:rsid w:val="00BD08DF"/>
    <w:rsid w:val="00BD2D29"/>
    <w:rsid w:val="00BD617C"/>
    <w:rsid w:val="00BE0C3F"/>
    <w:rsid w:val="00BE782C"/>
    <w:rsid w:val="00BF376F"/>
    <w:rsid w:val="00BF46A6"/>
    <w:rsid w:val="00BF6CAD"/>
    <w:rsid w:val="00BF71FB"/>
    <w:rsid w:val="00C01811"/>
    <w:rsid w:val="00C0252A"/>
    <w:rsid w:val="00C04DBF"/>
    <w:rsid w:val="00C05E2A"/>
    <w:rsid w:val="00C05E4C"/>
    <w:rsid w:val="00C06545"/>
    <w:rsid w:val="00C11E94"/>
    <w:rsid w:val="00C11EE8"/>
    <w:rsid w:val="00C134AF"/>
    <w:rsid w:val="00C15B9E"/>
    <w:rsid w:val="00C22002"/>
    <w:rsid w:val="00C220FC"/>
    <w:rsid w:val="00C24DFA"/>
    <w:rsid w:val="00C24F9D"/>
    <w:rsid w:val="00C25666"/>
    <w:rsid w:val="00C30182"/>
    <w:rsid w:val="00C31FC9"/>
    <w:rsid w:val="00C358E6"/>
    <w:rsid w:val="00C37A63"/>
    <w:rsid w:val="00C42248"/>
    <w:rsid w:val="00C422F6"/>
    <w:rsid w:val="00C46A36"/>
    <w:rsid w:val="00C47037"/>
    <w:rsid w:val="00C50235"/>
    <w:rsid w:val="00C509E3"/>
    <w:rsid w:val="00C53625"/>
    <w:rsid w:val="00C548BA"/>
    <w:rsid w:val="00C5679D"/>
    <w:rsid w:val="00C57784"/>
    <w:rsid w:val="00C602C1"/>
    <w:rsid w:val="00C63FC0"/>
    <w:rsid w:val="00C66392"/>
    <w:rsid w:val="00C7075D"/>
    <w:rsid w:val="00C708B3"/>
    <w:rsid w:val="00C73D09"/>
    <w:rsid w:val="00C74895"/>
    <w:rsid w:val="00C74C5E"/>
    <w:rsid w:val="00C82558"/>
    <w:rsid w:val="00C827A2"/>
    <w:rsid w:val="00C82B69"/>
    <w:rsid w:val="00C82C8E"/>
    <w:rsid w:val="00C82CB3"/>
    <w:rsid w:val="00C91B28"/>
    <w:rsid w:val="00C91F3A"/>
    <w:rsid w:val="00C93590"/>
    <w:rsid w:val="00C94A5F"/>
    <w:rsid w:val="00CA31EA"/>
    <w:rsid w:val="00CA5446"/>
    <w:rsid w:val="00CB0209"/>
    <w:rsid w:val="00CB0FF6"/>
    <w:rsid w:val="00CB14E5"/>
    <w:rsid w:val="00CB218D"/>
    <w:rsid w:val="00CB5625"/>
    <w:rsid w:val="00CB5797"/>
    <w:rsid w:val="00CC1C17"/>
    <w:rsid w:val="00CC4F7F"/>
    <w:rsid w:val="00CC5D70"/>
    <w:rsid w:val="00CD09E1"/>
    <w:rsid w:val="00CD3FBC"/>
    <w:rsid w:val="00CE00E7"/>
    <w:rsid w:val="00CE1780"/>
    <w:rsid w:val="00CE4913"/>
    <w:rsid w:val="00CE66BD"/>
    <w:rsid w:val="00CF0671"/>
    <w:rsid w:val="00CF247A"/>
    <w:rsid w:val="00CF44AD"/>
    <w:rsid w:val="00CF4D7C"/>
    <w:rsid w:val="00CF4FC0"/>
    <w:rsid w:val="00CF7486"/>
    <w:rsid w:val="00D00637"/>
    <w:rsid w:val="00D1072F"/>
    <w:rsid w:val="00D108A5"/>
    <w:rsid w:val="00D11533"/>
    <w:rsid w:val="00D14585"/>
    <w:rsid w:val="00D153C8"/>
    <w:rsid w:val="00D17F98"/>
    <w:rsid w:val="00D20EFF"/>
    <w:rsid w:val="00D21125"/>
    <w:rsid w:val="00D215B9"/>
    <w:rsid w:val="00D24BE1"/>
    <w:rsid w:val="00D24F78"/>
    <w:rsid w:val="00D27378"/>
    <w:rsid w:val="00D31324"/>
    <w:rsid w:val="00D31BDF"/>
    <w:rsid w:val="00D33FAA"/>
    <w:rsid w:val="00D35A7C"/>
    <w:rsid w:val="00D4386E"/>
    <w:rsid w:val="00D5016A"/>
    <w:rsid w:val="00D51432"/>
    <w:rsid w:val="00D53ED8"/>
    <w:rsid w:val="00D541A0"/>
    <w:rsid w:val="00D54A4A"/>
    <w:rsid w:val="00D5500B"/>
    <w:rsid w:val="00D639CE"/>
    <w:rsid w:val="00D64857"/>
    <w:rsid w:val="00D6493A"/>
    <w:rsid w:val="00D649A5"/>
    <w:rsid w:val="00D66833"/>
    <w:rsid w:val="00D67875"/>
    <w:rsid w:val="00D71E86"/>
    <w:rsid w:val="00D731C6"/>
    <w:rsid w:val="00D745C5"/>
    <w:rsid w:val="00D75327"/>
    <w:rsid w:val="00D77D6B"/>
    <w:rsid w:val="00D80C36"/>
    <w:rsid w:val="00D81A32"/>
    <w:rsid w:val="00D84FDE"/>
    <w:rsid w:val="00D86EE1"/>
    <w:rsid w:val="00D92558"/>
    <w:rsid w:val="00D95E90"/>
    <w:rsid w:val="00D96126"/>
    <w:rsid w:val="00DA2FD5"/>
    <w:rsid w:val="00DA4ED4"/>
    <w:rsid w:val="00DB4B1C"/>
    <w:rsid w:val="00DB5085"/>
    <w:rsid w:val="00DB619F"/>
    <w:rsid w:val="00DB7211"/>
    <w:rsid w:val="00DC1062"/>
    <w:rsid w:val="00DC132C"/>
    <w:rsid w:val="00DC181A"/>
    <w:rsid w:val="00DC5727"/>
    <w:rsid w:val="00DD43F0"/>
    <w:rsid w:val="00DD44DE"/>
    <w:rsid w:val="00DD5842"/>
    <w:rsid w:val="00DE09AB"/>
    <w:rsid w:val="00DE1DCC"/>
    <w:rsid w:val="00DE352F"/>
    <w:rsid w:val="00DE4A3F"/>
    <w:rsid w:val="00DE560E"/>
    <w:rsid w:val="00DE5A99"/>
    <w:rsid w:val="00DF4367"/>
    <w:rsid w:val="00DF4F7B"/>
    <w:rsid w:val="00DF7291"/>
    <w:rsid w:val="00E0574A"/>
    <w:rsid w:val="00E1243D"/>
    <w:rsid w:val="00E12742"/>
    <w:rsid w:val="00E146D4"/>
    <w:rsid w:val="00E14815"/>
    <w:rsid w:val="00E148AD"/>
    <w:rsid w:val="00E21D37"/>
    <w:rsid w:val="00E220ED"/>
    <w:rsid w:val="00E22B44"/>
    <w:rsid w:val="00E273B9"/>
    <w:rsid w:val="00E30ACD"/>
    <w:rsid w:val="00E32735"/>
    <w:rsid w:val="00E34236"/>
    <w:rsid w:val="00E44B88"/>
    <w:rsid w:val="00E46EBC"/>
    <w:rsid w:val="00E60DDB"/>
    <w:rsid w:val="00E65AD9"/>
    <w:rsid w:val="00E66E36"/>
    <w:rsid w:val="00E6775C"/>
    <w:rsid w:val="00E67F21"/>
    <w:rsid w:val="00E702ED"/>
    <w:rsid w:val="00E709A4"/>
    <w:rsid w:val="00E75917"/>
    <w:rsid w:val="00E772DB"/>
    <w:rsid w:val="00E86012"/>
    <w:rsid w:val="00E860CA"/>
    <w:rsid w:val="00E86BAB"/>
    <w:rsid w:val="00E908E5"/>
    <w:rsid w:val="00E92962"/>
    <w:rsid w:val="00E94E10"/>
    <w:rsid w:val="00E96743"/>
    <w:rsid w:val="00E96A42"/>
    <w:rsid w:val="00E97497"/>
    <w:rsid w:val="00EA16D5"/>
    <w:rsid w:val="00EA49C5"/>
    <w:rsid w:val="00EA6279"/>
    <w:rsid w:val="00EB0D4F"/>
    <w:rsid w:val="00EB480B"/>
    <w:rsid w:val="00EB5027"/>
    <w:rsid w:val="00EB6C87"/>
    <w:rsid w:val="00EC1836"/>
    <w:rsid w:val="00EC2F6E"/>
    <w:rsid w:val="00EC3990"/>
    <w:rsid w:val="00EC484B"/>
    <w:rsid w:val="00EC7E58"/>
    <w:rsid w:val="00ED15FA"/>
    <w:rsid w:val="00ED1B61"/>
    <w:rsid w:val="00ED5C9F"/>
    <w:rsid w:val="00EE050C"/>
    <w:rsid w:val="00EE2113"/>
    <w:rsid w:val="00EE5730"/>
    <w:rsid w:val="00EE6E9A"/>
    <w:rsid w:val="00EF2AC4"/>
    <w:rsid w:val="00EF397E"/>
    <w:rsid w:val="00F00AA0"/>
    <w:rsid w:val="00F0340C"/>
    <w:rsid w:val="00F04C60"/>
    <w:rsid w:val="00F06F68"/>
    <w:rsid w:val="00F07D2B"/>
    <w:rsid w:val="00F11241"/>
    <w:rsid w:val="00F137F0"/>
    <w:rsid w:val="00F15E9D"/>
    <w:rsid w:val="00F23FA7"/>
    <w:rsid w:val="00F24C2D"/>
    <w:rsid w:val="00F25BEC"/>
    <w:rsid w:val="00F27BEC"/>
    <w:rsid w:val="00F27D59"/>
    <w:rsid w:val="00F316E1"/>
    <w:rsid w:val="00F32155"/>
    <w:rsid w:val="00F32A81"/>
    <w:rsid w:val="00F36701"/>
    <w:rsid w:val="00F40C82"/>
    <w:rsid w:val="00F4197F"/>
    <w:rsid w:val="00F42BFA"/>
    <w:rsid w:val="00F46998"/>
    <w:rsid w:val="00F5382D"/>
    <w:rsid w:val="00F53D9C"/>
    <w:rsid w:val="00F54195"/>
    <w:rsid w:val="00F5462B"/>
    <w:rsid w:val="00F54653"/>
    <w:rsid w:val="00F54FAC"/>
    <w:rsid w:val="00F569DE"/>
    <w:rsid w:val="00F57205"/>
    <w:rsid w:val="00F634AD"/>
    <w:rsid w:val="00F63677"/>
    <w:rsid w:val="00F65010"/>
    <w:rsid w:val="00F65D22"/>
    <w:rsid w:val="00F70658"/>
    <w:rsid w:val="00F7417E"/>
    <w:rsid w:val="00F75B81"/>
    <w:rsid w:val="00F761CA"/>
    <w:rsid w:val="00F804C4"/>
    <w:rsid w:val="00F80C7E"/>
    <w:rsid w:val="00F82F83"/>
    <w:rsid w:val="00F86097"/>
    <w:rsid w:val="00F870BC"/>
    <w:rsid w:val="00F90C64"/>
    <w:rsid w:val="00F9210C"/>
    <w:rsid w:val="00F92B30"/>
    <w:rsid w:val="00F933B9"/>
    <w:rsid w:val="00F94674"/>
    <w:rsid w:val="00F94919"/>
    <w:rsid w:val="00F94A59"/>
    <w:rsid w:val="00FA25B6"/>
    <w:rsid w:val="00FA2FAF"/>
    <w:rsid w:val="00FA54F6"/>
    <w:rsid w:val="00FA5B67"/>
    <w:rsid w:val="00FA64B1"/>
    <w:rsid w:val="00FA70F3"/>
    <w:rsid w:val="00FA71CD"/>
    <w:rsid w:val="00FB0453"/>
    <w:rsid w:val="00FB0C07"/>
    <w:rsid w:val="00FB205F"/>
    <w:rsid w:val="00FB298D"/>
    <w:rsid w:val="00FB3171"/>
    <w:rsid w:val="00FB444E"/>
    <w:rsid w:val="00FC13CC"/>
    <w:rsid w:val="00FC1439"/>
    <w:rsid w:val="00FC3F65"/>
    <w:rsid w:val="00FC5007"/>
    <w:rsid w:val="00FC70AD"/>
    <w:rsid w:val="00FC724B"/>
    <w:rsid w:val="00FC7910"/>
    <w:rsid w:val="00FD01E0"/>
    <w:rsid w:val="00FD1C5C"/>
    <w:rsid w:val="00FD50FC"/>
    <w:rsid w:val="00FE1627"/>
    <w:rsid w:val="00FE2D4E"/>
    <w:rsid w:val="00FE3F22"/>
    <w:rsid w:val="00FE40A4"/>
    <w:rsid w:val="00FF092F"/>
    <w:rsid w:val="00FF0DA7"/>
    <w:rsid w:val="00FF2B09"/>
    <w:rsid w:val="00FF44E0"/>
    <w:rsid w:val="00FF4743"/>
    <w:rsid w:val="00FF6C72"/>
    <w:rsid w:val="00FF733B"/>
    <w:rsid w:val="00FF745A"/>
    <w:rsid w:val="01722E9F"/>
    <w:rsid w:val="01915CC2"/>
    <w:rsid w:val="02EB0203"/>
    <w:rsid w:val="04941C77"/>
    <w:rsid w:val="064B727F"/>
    <w:rsid w:val="06AE129F"/>
    <w:rsid w:val="072D20A4"/>
    <w:rsid w:val="073B420D"/>
    <w:rsid w:val="0892011D"/>
    <w:rsid w:val="08AB2B36"/>
    <w:rsid w:val="08D15B8E"/>
    <w:rsid w:val="09A909AA"/>
    <w:rsid w:val="0A3D35AB"/>
    <w:rsid w:val="0A542106"/>
    <w:rsid w:val="0A6C4667"/>
    <w:rsid w:val="0B301291"/>
    <w:rsid w:val="0BBE711B"/>
    <w:rsid w:val="0BD47173"/>
    <w:rsid w:val="0C1B47F2"/>
    <w:rsid w:val="0C4264AA"/>
    <w:rsid w:val="0C6157E5"/>
    <w:rsid w:val="0DB63633"/>
    <w:rsid w:val="0E833088"/>
    <w:rsid w:val="0EB14497"/>
    <w:rsid w:val="10607C4F"/>
    <w:rsid w:val="106E6418"/>
    <w:rsid w:val="10E05167"/>
    <w:rsid w:val="11323C4E"/>
    <w:rsid w:val="12D71D5F"/>
    <w:rsid w:val="14153FD6"/>
    <w:rsid w:val="151B7FB7"/>
    <w:rsid w:val="167B6427"/>
    <w:rsid w:val="16B27D38"/>
    <w:rsid w:val="177A6E2E"/>
    <w:rsid w:val="187325D8"/>
    <w:rsid w:val="1930691F"/>
    <w:rsid w:val="1A5D7990"/>
    <w:rsid w:val="1A6528FE"/>
    <w:rsid w:val="1A835004"/>
    <w:rsid w:val="1BA61F6F"/>
    <w:rsid w:val="1C63029E"/>
    <w:rsid w:val="1C715A71"/>
    <w:rsid w:val="1CC921E7"/>
    <w:rsid w:val="1D1C4205"/>
    <w:rsid w:val="1D444EB6"/>
    <w:rsid w:val="1DA840EB"/>
    <w:rsid w:val="1F6B41EE"/>
    <w:rsid w:val="20011FC5"/>
    <w:rsid w:val="20C16461"/>
    <w:rsid w:val="20FF5536"/>
    <w:rsid w:val="223836AF"/>
    <w:rsid w:val="226F2197"/>
    <w:rsid w:val="23146520"/>
    <w:rsid w:val="23585502"/>
    <w:rsid w:val="23596C26"/>
    <w:rsid w:val="24577437"/>
    <w:rsid w:val="2508087C"/>
    <w:rsid w:val="257969F9"/>
    <w:rsid w:val="262D78EB"/>
    <w:rsid w:val="27CA60F4"/>
    <w:rsid w:val="27E85AF1"/>
    <w:rsid w:val="28C929C1"/>
    <w:rsid w:val="29373F73"/>
    <w:rsid w:val="295220BC"/>
    <w:rsid w:val="29DA6B0B"/>
    <w:rsid w:val="2A093B18"/>
    <w:rsid w:val="2A8D7B4E"/>
    <w:rsid w:val="2ABD245A"/>
    <w:rsid w:val="2B412386"/>
    <w:rsid w:val="2BB34FD2"/>
    <w:rsid w:val="2BD654AF"/>
    <w:rsid w:val="2CEA687B"/>
    <w:rsid w:val="2D1633EB"/>
    <w:rsid w:val="2DE16C1F"/>
    <w:rsid w:val="2E1B2EA1"/>
    <w:rsid w:val="2E63511A"/>
    <w:rsid w:val="2EB35320"/>
    <w:rsid w:val="2F111D48"/>
    <w:rsid w:val="2F317872"/>
    <w:rsid w:val="2F3F0C54"/>
    <w:rsid w:val="2F4615DA"/>
    <w:rsid w:val="30ED2B9B"/>
    <w:rsid w:val="31197749"/>
    <w:rsid w:val="31C51E84"/>
    <w:rsid w:val="31F167D5"/>
    <w:rsid w:val="32691053"/>
    <w:rsid w:val="32A538A5"/>
    <w:rsid w:val="32B30981"/>
    <w:rsid w:val="330E360D"/>
    <w:rsid w:val="33B37D2E"/>
    <w:rsid w:val="352620DC"/>
    <w:rsid w:val="35296CAD"/>
    <w:rsid w:val="35E5310F"/>
    <w:rsid w:val="3661430F"/>
    <w:rsid w:val="36681034"/>
    <w:rsid w:val="369D587E"/>
    <w:rsid w:val="36BA6020"/>
    <w:rsid w:val="36CF1D5D"/>
    <w:rsid w:val="370F3BF6"/>
    <w:rsid w:val="385B6957"/>
    <w:rsid w:val="39293004"/>
    <w:rsid w:val="39882115"/>
    <w:rsid w:val="39E10D60"/>
    <w:rsid w:val="3BFC5E74"/>
    <w:rsid w:val="3C0059BB"/>
    <w:rsid w:val="3C5F3E33"/>
    <w:rsid w:val="3CA25F45"/>
    <w:rsid w:val="3CEB21BC"/>
    <w:rsid w:val="3E886713"/>
    <w:rsid w:val="3F5E4365"/>
    <w:rsid w:val="40457FCE"/>
    <w:rsid w:val="415470E2"/>
    <w:rsid w:val="419248B1"/>
    <w:rsid w:val="41AF5742"/>
    <w:rsid w:val="41BB759E"/>
    <w:rsid w:val="41CB5F92"/>
    <w:rsid w:val="420A52CF"/>
    <w:rsid w:val="4264408B"/>
    <w:rsid w:val="42A80D01"/>
    <w:rsid w:val="42B740A7"/>
    <w:rsid w:val="4353477A"/>
    <w:rsid w:val="43BB4CFC"/>
    <w:rsid w:val="43C05511"/>
    <w:rsid w:val="446B6021"/>
    <w:rsid w:val="45FC7108"/>
    <w:rsid w:val="473A7BED"/>
    <w:rsid w:val="47863A67"/>
    <w:rsid w:val="478F71C4"/>
    <w:rsid w:val="4821786A"/>
    <w:rsid w:val="4825146D"/>
    <w:rsid w:val="497A528F"/>
    <w:rsid w:val="49CF10F0"/>
    <w:rsid w:val="4A6169D0"/>
    <w:rsid w:val="4B014864"/>
    <w:rsid w:val="4B954E7C"/>
    <w:rsid w:val="4E6B046C"/>
    <w:rsid w:val="4E707289"/>
    <w:rsid w:val="4E9E4717"/>
    <w:rsid w:val="4EEA3D40"/>
    <w:rsid w:val="4F00728A"/>
    <w:rsid w:val="4F3F6AB1"/>
    <w:rsid w:val="4F5D071B"/>
    <w:rsid w:val="4F9B688F"/>
    <w:rsid w:val="510A2FB8"/>
    <w:rsid w:val="54087D99"/>
    <w:rsid w:val="54A72003"/>
    <w:rsid w:val="56023921"/>
    <w:rsid w:val="57371CB4"/>
    <w:rsid w:val="5809250B"/>
    <w:rsid w:val="588B03A9"/>
    <w:rsid w:val="5A3617D9"/>
    <w:rsid w:val="5A7F6B6C"/>
    <w:rsid w:val="5AFB613D"/>
    <w:rsid w:val="5B884B20"/>
    <w:rsid w:val="5BC0556E"/>
    <w:rsid w:val="5BC81C40"/>
    <w:rsid w:val="5C912BA5"/>
    <w:rsid w:val="5CBE33B3"/>
    <w:rsid w:val="5D543F38"/>
    <w:rsid w:val="5DA327CA"/>
    <w:rsid w:val="5ED15115"/>
    <w:rsid w:val="5FD74633"/>
    <w:rsid w:val="60E412C0"/>
    <w:rsid w:val="61B77C09"/>
    <w:rsid w:val="61E323AE"/>
    <w:rsid w:val="623331AC"/>
    <w:rsid w:val="625772C4"/>
    <w:rsid w:val="6266642C"/>
    <w:rsid w:val="636F3034"/>
    <w:rsid w:val="6429173C"/>
    <w:rsid w:val="650516A8"/>
    <w:rsid w:val="65330581"/>
    <w:rsid w:val="65830E72"/>
    <w:rsid w:val="66E81280"/>
    <w:rsid w:val="67747E79"/>
    <w:rsid w:val="69110DD3"/>
    <w:rsid w:val="691D526F"/>
    <w:rsid w:val="69676D3F"/>
    <w:rsid w:val="698A4F8C"/>
    <w:rsid w:val="6A2E3597"/>
    <w:rsid w:val="6C8D150C"/>
    <w:rsid w:val="6C9F52CD"/>
    <w:rsid w:val="6CE35249"/>
    <w:rsid w:val="6E39711A"/>
    <w:rsid w:val="6E997D6C"/>
    <w:rsid w:val="6EA75106"/>
    <w:rsid w:val="6EF616F6"/>
    <w:rsid w:val="6F5D575B"/>
    <w:rsid w:val="6FD1766A"/>
    <w:rsid w:val="71467526"/>
    <w:rsid w:val="74F278BB"/>
    <w:rsid w:val="74FC2405"/>
    <w:rsid w:val="754058DD"/>
    <w:rsid w:val="76CE33B8"/>
    <w:rsid w:val="771A04F8"/>
    <w:rsid w:val="77EB3293"/>
    <w:rsid w:val="784A4B73"/>
    <w:rsid w:val="786924FD"/>
    <w:rsid w:val="788A485A"/>
    <w:rsid w:val="799B26EC"/>
    <w:rsid w:val="79E87A8A"/>
    <w:rsid w:val="7A5B3FA8"/>
    <w:rsid w:val="7BA174E1"/>
    <w:rsid w:val="7BC04FC3"/>
    <w:rsid w:val="7CA72746"/>
    <w:rsid w:val="7DC33C3F"/>
    <w:rsid w:val="7EA81A90"/>
    <w:rsid w:val="7F2B1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5">
    <w:name w:val="heading 1"/>
    <w:basedOn w:val="1"/>
    <w:next w:val="1"/>
    <w:link w:val="63"/>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link w:val="65"/>
    <w:autoRedefine/>
    <w:semiHidden/>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70"/>
    <w:autoRedefine/>
    <w:qFormat/>
    <w:uiPriority w:val="0"/>
    <w:pPr>
      <w:keepNext/>
      <w:keepLines/>
      <w:spacing w:before="280" w:after="290" w:line="376" w:lineRule="auto"/>
      <w:outlineLvl w:val="3"/>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cs="Times New Roman"/>
      <w:szCs w:val="21"/>
    </w:rPr>
  </w:style>
  <w:style w:type="paragraph" w:styleId="3">
    <w:name w:val="Body Text Indent"/>
    <w:basedOn w:val="1"/>
    <w:next w:val="4"/>
    <w:qFormat/>
    <w:uiPriority w:val="0"/>
    <w:pPr>
      <w:spacing w:after="120"/>
      <w:ind w:left="420" w:leftChars="200"/>
    </w:pPr>
    <w:rPr>
      <w:szCs w:val="24"/>
    </w:rPr>
  </w:style>
  <w:style w:type="paragraph" w:styleId="4">
    <w:name w:val="envelope return"/>
    <w:basedOn w:val="1"/>
    <w:qFormat/>
    <w:uiPriority w:val="0"/>
    <w:pPr>
      <w:snapToGrid w:val="0"/>
    </w:pPr>
    <w:rPr>
      <w:rFonts w:ascii="Arial" w:hAnsi="Arial"/>
    </w:rPr>
  </w:style>
  <w:style w:type="paragraph" w:styleId="9">
    <w:name w:val="toc 7"/>
    <w:basedOn w:val="1"/>
    <w:next w:val="1"/>
    <w:unhideWhenUsed/>
    <w:qFormat/>
    <w:uiPriority w:val="39"/>
    <w:pPr>
      <w:ind w:left="1260"/>
      <w:jc w:val="left"/>
    </w:pPr>
    <w:rPr>
      <w:sz w:val="18"/>
      <w:szCs w:val="18"/>
    </w:rPr>
  </w:style>
  <w:style w:type="paragraph" w:styleId="10">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11">
    <w:name w:val="annotation text"/>
    <w:basedOn w:val="1"/>
    <w:link w:val="62"/>
    <w:autoRedefine/>
    <w:qFormat/>
    <w:uiPriority w:val="0"/>
    <w:pPr>
      <w:jc w:val="left"/>
    </w:pPr>
    <w:rPr>
      <w:rFonts w:ascii="Arial" w:hAnsi="Arial" w:eastAsia="黑体" w:cs="Arial"/>
    </w:rPr>
  </w:style>
  <w:style w:type="paragraph" w:styleId="12">
    <w:name w:val="Body Text"/>
    <w:basedOn w:val="1"/>
    <w:link w:val="71"/>
    <w:autoRedefine/>
    <w:qFormat/>
    <w:uiPriority w:val="0"/>
    <w:pPr>
      <w:spacing w:after="120"/>
    </w:pPr>
    <w:rPr>
      <w:rFonts w:ascii="@微软简标宋" w:hAnsi="@微软简标宋" w:eastAsia="@微软简标宋" w:cs="@微软简标宋"/>
      <w:szCs w:val="24"/>
      <w:lang w:val="zh-CN"/>
    </w:r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next w:val="1"/>
    <w:link w:val="51"/>
    <w:autoRedefine/>
    <w:qFormat/>
    <w:uiPriority w:val="99"/>
    <w:rPr>
      <w:rFonts w:ascii="宋体" w:hAnsi="Courier New" w:eastAsiaTheme="minorEastAsia" w:cstheme="minorBidi"/>
      <w:szCs w:val="22"/>
    </w:rPr>
  </w:style>
  <w:style w:type="paragraph" w:styleId="15">
    <w:name w:val="Date"/>
    <w:basedOn w:val="1"/>
    <w:next w:val="1"/>
    <w:link w:val="58"/>
    <w:autoRedefine/>
    <w:qFormat/>
    <w:uiPriority w:val="0"/>
    <w:rPr>
      <w:rFonts w:ascii="Arial" w:hAnsi="Arial" w:eastAsia="宋体" w:cs="Arial"/>
      <w:b/>
      <w:sz w:val="28"/>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50"/>
    <w:autoRedefine/>
    <w:unhideWhenUsed/>
    <w:qFormat/>
    <w:uiPriority w:val="99"/>
    <w:pPr>
      <w:tabs>
        <w:tab w:val="center" w:pos="4153"/>
        <w:tab w:val="right" w:pos="8306"/>
      </w:tabs>
      <w:snapToGrid w:val="0"/>
      <w:jc w:val="left"/>
    </w:pPr>
    <w:rPr>
      <w:sz w:val="18"/>
      <w:szCs w:val="18"/>
    </w:rPr>
  </w:style>
  <w:style w:type="paragraph" w:styleId="18">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List"/>
    <w:basedOn w:val="1"/>
    <w:next w:val="1"/>
    <w:qFormat/>
    <w:uiPriority w:val="0"/>
    <w:pPr>
      <w:ind w:left="420" w:hanging="420"/>
    </w:pPr>
    <w:rPr>
      <w:rFonts w:ascii="Arial" w:hAnsi="Arial" w:eastAsia="楷体_GB2312"/>
      <w:sz w:val="28"/>
    </w:rPr>
  </w:style>
  <w:style w:type="paragraph" w:styleId="21">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2">
    <w:name w:val="Normal (Web)"/>
    <w:basedOn w:val="1"/>
    <w:autoRedefine/>
    <w:qFormat/>
    <w:uiPriority w:val="0"/>
    <w:pPr>
      <w:spacing w:before="100" w:beforeAutospacing="1" w:after="100" w:afterAutospacing="1"/>
      <w:jc w:val="left"/>
    </w:pPr>
    <w:rPr>
      <w:rFonts w:cs="Times New Roman"/>
      <w:kern w:val="0"/>
      <w:sz w:val="24"/>
    </w:rPr>
  </w:style>
  <w:style w:type="paragraph" w:styleId="23">
    <w:name w:val="index 1"/>
    <w:basedOn w:val="1"/>
    <w:next w:val="1"/>
    <w:autoRedefine/>
    <w:qFormat/>
    <w:uiPriority w:val="0"/>
    <w:pPr>
      <w:jc w:val="center"/>
    </w:pPr>
    <w:rPr>
      <w:rFonts w:ascii="Arial" w:hAnsi="Arial" w:eastAsia="Arial" w:cs="Arial"/>
      <w:b/>
      <w:bCs/>
      <w:sz w:val="28"/>
    </w:rPr>
  </w:style>
  <w:style w:type="paragraph" w:styleId="24">
    <w:name w:val="Title"/>
    <w:basedOn w:val="1"/>
    <w:next w:val="1"/>
    <w:qFormat/>
    <w:uiPriority w:val="0"/>
    <w:pPr>
      <w:spacing w:before="120"/>
      <w:jc w:val="left"/>
      <w:outlineLvl w:val="0"/>
    </w:pPr>
    <w:rPr>
      <w:rFonts w:ascii="Calibri Light" w:hAnsi="Calibri Light" w:eastAsia="微软雅黑"/>
      <w:b/>
      <w:bCs/>
      <w:sz w:val="28"/>
      <w:szCs w:val="32"/>
    </w:rPr>
  </w:style>
  <w:style w:type="paragraph" w:styleId="25">
    <w:name w:val="annotation subject"/>
    <w:basedOn w:val="11"/>
    <w:next w:val="11"/>
    <w:link w:val="81"/>
    <w:semiHidden/>
    <w:unhideWhenUsed/>
    <w:qFormat/>
    <w:uiPriority w:val="99"/>
    <w:rPr>
      <w:rFonts w:ascii="@仿宋_GB2312" w:hAnsi="@仿宋_GB2312" w:eastAsia="@仿宋_GB2312" w:cs="@仿宋_GB2312"/>
      <w:b/>
      <w:bCs/>
    </w:rPr>
  </w:style>
  <w:style w:type="paragraph" w:styleId="26">
    <w:name w:val="Body Text First Indent"/>
    <w:basedOn w:val="12"/>
    <w:autoRedefine/>
    <w:unhideWhenUsed/>
    <w:qFormat/>
    <w:uiPriority w:val="99"/>
    <w:pPr>
      <w:ind w:firstLine="420" w:firstLineChars="100"/>
    </w:pPr>
  </w:style>
  <w:style w:type="table" w:styleId="28">
    <w:name w:val="Table Grid"/>
    <w:basedOn w:val="2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FollowedHyperlink"/>
    <w:basedOn w:val="29"/>
    <w:autoRedefine/>
    <w:semiHidden/>
    <w:unhideWhenUsed/>
    <w:qFormat/>
    <w:uiPriority w:val="99"/>
    <w:rPr>
      <w:color w:val="800080"/>
      <w:u w:val="none"/>
    </w:rPr>
  </w:style>
  <w:style w:type="character" w:styleId="32">
    <w:name w:val="Emphasis"/>
    <w:basedOn w:val="29"/>
    <w:autoRedefine/>
    <w:qFormat/>
    <w:uiPriority w:val="20"/>
    <w:rPr>
      <w:b/>
      <w:bCs/>
    </w:rPr>
  </w:style>
  <w:style w:type="character" w:styleId="33">
    <w:name w:val="HTML Definition"/>
    <w:basedOn w:val="29"/>
    <w:autoRedefine/>
    <w:semiHidden/>
    <w:unhideWhenUsed/>
    <w:qFormat/>
    <w:uiPriority w:val="99"/>
  </w:style>
  <w:style w:type="character" w:styleId="34">
    <w:name w:val="HTML Typewriter"/>
    <w:basedOn w:val="29"/>
    <w:autoRedefine/>
    <w:semiHidden/>
    <w:unhideWhenUsed/>
    <w:qFormat/>
    <w:uiPriority w:val="99"/>
    <w:rPr>
      <w:rFonts w:hint="default" w:ascii="monospace" w:hAnsi="monospace" w:eastAsia="monospace" w:cs="monospace"/>
      <w:sz w:val="20"/>
    </w:rPr>
  </w:style>
  <w:style w:type="character" w:styleId="35">
    <w:name w:val="HTML Acronym"/>
    <w:basedOn w:val="29"/>
    <w:autoRedefine/>
    <w:semiHidden/>
    <w:unhideWhenUsed/>
    <w:qFormat/>
    <w:uiPriority w:val="99"/>
  </w:style>
  <w:style w:type="character" w:styleId="36">
    <w:name w:val="HTML Variable"/>
    <w:basedOn w:val="29"/>
    <w:autoRedefine/>
    <w:semiHidden/>
    <w:unhideWhenUsed/>
    <w:qFormat/>
    <w:uiPriority w:val="99"/>
  </w:style>
  <w:style w:type="character" w:styleId="37">
    <w:name w:val="Hyperlink"/>
    <w:basedOn w:val="29"/>
    <w:autoRedefine/>
    <w:unhideWhenUsed/>
    <w:qFormat/>
    <w:uiPriority w:val="99"/>
    <w:rPr>
      <w:color w:val="0000FF" w:themeColor="hyperlink"/>
      <w:u w:val="single"/>
      <w14:textFill>
        <w14:solidFill>
          <w14:schemeClr w14:val="hlink"/>
        </w14:solidFill>
      </w14:textFill>
    </w:rPr>
  </w:style>
  <w:style w:type="character" w:styleId="38">
    <w:name w:val="HTML Code"/>
    <w:basedOn w:val="29"/>
    <w:autoRedefine/>
    <w:semiHidden/>
    <w:unhideWhenUsed/>
    <w:qFormat/>
    <w:uiPriority w:val="99"/>
    <w:rPr>
      <w:rFonts w:ascii="monospace" w:hAnsi="monospace" w:eastAsia="monospace" w:cs="monospace"/>
      <w:sz w:val="20"/>
    </w:rPr>
  </w:style>
  <w:style w:type="character" w:styleId="39">
    <w:name w:val="annotation reference"/>
    <w:basedOn w:val="29"/>
    <w:semiHidden/>
    <w:unhideWhenUsed/>
    <w:qFormat/>
    <w:uiPriority w:val="99"/>
    <w:rPr>
      <w:sz w:val="21"/>
      <w:szCs w:val="21"/>
    </w:rPr>
  </w:style>
  <w:style w:type="character" w:styleId="40">
    <w:name w:val="HTML Cite"/>
    <w:basedOn w:val="29"/>
    <w:autoRedefine/>
    <w:semiHidden/>
    <w:unhideWhenUsed/>
    <w:qFormat/>
    <w:uiPriority w:val="99"/>
  </w:style>
  <w:style w:type="character" w:styleId="41">
    <w:name w:val="HTML Keyboard"/>
    <w:basedOn w:val="29"/>
    <w:autoRedefine/>
    <w:semiHidden/>
    <w:unhideWhenUsed/>
    <w:qFormat/>
    <w:uiPriority w:val="99"/>
    <w:rPr>
      <w:rFonts w:hint="default" w:ascii="monospace" w:hAnsi="monospace" w:eastAsia="monospace" w:cs="monospace"/>
      <w:sz w:val="20"/>
    </w:rPr>
  </w:style>
  <w:style w:type="character" w:styleId="42">
    <w:name w:val="HTML Sample"/>
    <w:basedOn w:val="29"/>
    <w:autoRedefine/>
    <w:semiHidden/>
    <w:unhideWhenUsed/>
    <w:qFormat/>
    <w:uiPriority w:val="99"/>
    <w:rPr>
      <w:rFonts w:hint="default" w:ascii="monospace" w:hAnsi="monospace" w:eastAsia="monospace" w:cs="monospace"/>
    </w:rPr>
  </w:style>
  <w:style w:type="paragraph" w:customStyle="1" w:styleId="43">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44">
    <w:name w:val="正文文字 8"/>
    <w:basedOn w:val="1"/>
    <w:next w:val="1"/>
    <w:autoRedefine/>
    <w:qFormat/>
    <w:uiPriority w:val="0"/>
    <w:pPr>
      <w:ind w:left="240"/>
    </w:pPr>
    <w:rPr>
      <w:sz w:val="16"/>
    </w:rPr>
  </w:style>
  <w:style w:type="character" w:customStyle="1" w:styleId="45">
    <w:name w:val="批注框文本 字符"/>
    <w:basedOn w:val="29"/>
    <w:link w:val="16"/>
    <w:autoRedefine/>
    <w:semiHidden/>
    <w:qFormat/>
    <w:uiPriority w:val="99"/>
    <w:rPr>
      <w:rFonts w:ascii="@仿宋_GB2312" w:hAnsi="@仿宋_GB2312" w:eastAsia="@仿宋_GB2312" w:cs="@仿宋_GB2312"/>
      <w:sz w:val="18"/>
      <w:szCs w:val="18"/>
    </w:rPr>
  </w:style>
  <w:style w:type="paragraph" w:customStyle="1" w:styleId="46">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7">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8">
    <w:name w:val="D&amp;L"/>
    <w:basedOn w:val="18"/>
    <w:autoRedefine/>
    <w:qFormat/>
    <w:uiPriority w:val="0"/>
    <w:pPr>
      <w:pBdr>
        <w:bottom w:val="none" w:color="auto" w:sz="0" w:space="0"/>
      </w:pBdr>
      <w:tabs>
        <w:tab w:val="clear" w:pos="4153"/>
        <w:tab w:val="clear" w:pos="8306"/>
      </w:tabs>
      <w:snapToGrid/>
    </w:pPr>
    <w:rPr>
      <w:rFonts w:ascii="宋体" w:hAnsi="宋体" w:eastAsia="宋体"/>
      <w:bCs/>
      <w:sz w:val="24"/>
      <w:szCs w:val="20"/>
    </w:rPr>
  </w:style>
  <w:style w:type="character" w:customStyle="1" w:styleId="49">
    <w:name w:val="页眉 字符"/>
    <w:basedOn w:val="29"/>
    <w:link w:val="18"/>
    <w:autoRedefine/>
    <w:qFormat/>
    <w:uiPriority w:val="0"/>
    <w:rPr>
      <w:rFonts w:ascii="@仿宋_GB2312" w:hAnsi="@仿宋_GB2312" w:eastAsia="@仿宋_GB2312" w:cs="@仿宋_GB2312"/>
      <w:sz w:val="18"/>
      <w:szCs w:val="18"/>
    </w:rPr>
  </w:style>
  <w:style w:type="character" w:customStyle="1" w:styleId="50">
    <w:name w:val="页脚 字符"/>
    <w:basedOn w:val="29"/>
    <w:link w:val="17"/>
    <w:autoRedefine/>
    <w:qFormat/>
    <w:uiPriority w:val="99"/>
    <w:rPr>
      <w:rFonts w:ascii="@仿宋_GB2312" w:hAnsi="@仿宋_GB2312" w:eastAsia="@仿宋_GB2312" w:cs="@仿宋_GB2312"/>
      <w:sz w:val="18"/>
      <w:szCs w:val="18"/>
    </w:rPr>
  </w:style>
  <w:style w:type="character" w:customStyle="1" w:styleId="51">
    <w:name w:val="纯文本 字符"/>
    <w:link w:val="14"/>
    <w:autoRedefine/>
    <w:qFormat/>
    <w:uiPriority w:val="0"/>
    <w:rPr>
      <w:rFonts w:ascii="宋体" w:hAnsi="Courier New"/>
    </w:rPr>
  </w:style>
  <w:style w:type="character" w:customStyle="1" w:styleId="52">
    <w:name w:val="纯文本 字符1"/>
    <w:basedOn w:val="29"/>
    <w:autoRedefine/>
    <w:semiHidden/>
    <w:qFormat/>
    <w:uiPriority w:val="99"/>
    <w:rPr>
      <w:rFonts w:hAnsi="Courier New" w:cs="Courier New" w:asciiTheme="minorEastAsia"/>
      <w:szCs w:val="20"/>
    </w:rPr>
  </w:style>
  <w:style w:type="character" w:customStyle="1" w:styleId="53">
    <w:name w:val="未处理的提及1"/>
    <w:basedOn w:val="29"/>
    <w:autoRedefine/>
    <w:semiHidden/>
    <w:unhideWhenUsed/>
    <w:qFormat/>
    <w:uiPriority w:val="99"/>
    <w:rPr>
      <w:color w:val="605E5C"/>
      <w:shd w:val="clear" w:color="auto" w:fill="E1DFDD"/>
    </w:rPr>
  </w:style>
  <w:style w:type="paragraph" w:styleId="54">
    <w:name w:val="List Paragraph"/>
    <w:basedOn w:val="1"/>
    <w:autoRedefine/>
    <w:qFormat/>
    <w:uiPriority w:val="34"/>
    <w:pPr>
      <w:ind w:firstLine="420" w:firstLineChars="200"/>
    </w:pPr>
  </w:style>
  <w:style w:type="paragraph" w:customStyle="1" w:styleId="55">
    <w:name w:val="Char Char Char Char Char Char Char1 Char"/>
    <w:basedOn w:val="1"/>
    <w:autoRedefine/>
    <w:qFormat/>
    <w:uiPriority w:val="0"/>
    <w:rPr>
      <w:rFonts w:ascii="Arial" w:hAnsi="Arial" w:eastAsia="宋体" w:cs="Arial"/>
      <w:sz w:val="24"/>
    </w:rPr>
  </w:style>
  <w:style w:type="table" w:customStyle="1" w:styleId="56">
    <w:name w:val="网格表 1 浅色1"/>
    <w:basedOn w:val="27"/>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7">
    <w:name w:val="日期 字符"/>
    <w:basedOn w:val="29"/>
    <w:autoRedefine/>
    <w:semiHidden/>
    <w:qFormat/>
    <w:uiPriority w:val="99"/>
    <w:rPr>
      <w:rFonts w:ascii="@仿宋_GB2312" w:hAnsi="@仿宋_GB2312" w:eastAsia="@仿宋_GB2312" w:cs="@仿宋_GB2312"/>
      <w:szCs w:val="20"/>
    </w:rPr>
  </w:style>
  <w:style w:type="character" w:customStyle="1" w:styleId="58">
    <w:name w:val="日期 字符1"/>
    <w:link w:val="15"/>
    <w:autoRedefine/>
    <w:qFormat/>
    <w:uiPriority w:val="0"/>
    <w:rPr>
      <w:rFonts w:ascii="Arial" w:hAnsi="Arial" w:eastAsia="宋体" w:cs="Arial"/>
      <w:b/>
      <w:sz w:val="28"/>
      <w:szCs w:val="20"/>
    </w:rPr>
  </w:style>
  <w:style w:type="character" w:customStyle="1" w:styleId="59">
    <w:name w:val="纯文本 Char1"/>
    <w:link w:val="60"/>
    <w:autoRedefine/>
    <w:qFormat/>
    <w:locked/>
    <w:uiPriority w:val="0"/>
    <w:rPr>
      <w:rFonts w:ascii="Arial" w:hAnsi="Arial" w:eastAsia="Arial"/>
      <w:kern w:val="2"/>
      <w:sz w:val="21"/>
      <w:lang w:val="en-US" w:eastAsia="zh-CN" w:bidi="ar-SA"/>
    </w:rPr>
  </w:style>
  <w:style w:type="paragraph" w:customStyle="1" w:styleId="60">
    <w:name w:val="纯文本1"/>
    <w:basedOn w:val="1"/>
    <w:link w:val="59"/>
    <w:autoRedefine/>
    <w:qFormat/>
    <w:uiPriority w:val="0"/>
    <w:rPr>
      <w:rFonts w:ascii="Arial" w:hAnsi="Arial" w:eastAsia="Arial" w:cstheme="minorBidi"/>
    </w:rPr>
  </w:style>
  <w:style w:type="character" w:customStyle="1" w:styleId="61">
    <w:name w:val="批注文字 Char"/>
    <w:basedOn w:val="29"/>
    <w:autoRedefine/>
    <w:semiHidden/>
    <w:qFormat/>
    <w:uiPriority w:val="99"/>
    <w:rPr>
      <w:rFonts w:ascii="@仿宋_GB2312" w:hAnsi="@仿宋_GB2312" w:eastAsia="@仿宋_GB2312" w:cs="@仿宋_GB2312"/>
      <w:szCs w:val="20"/>
    </w:rPr>
  </w:style>
  <w:style w:type="character" w:customStyle="1" w:styleId="62">
    <w:name w:val="批注文字 字符"/>
    <w:link w:val="11"/>
    <w:autoRedefine/>
    <w:qFormat/>
    <w:uiPriority w:val="0"/>
    <w:rPr>
      <w:rFonts w:ascii="Arial" w:hAnsi="Arial" w:eastAsia="黑体" w:cs="Arial"/>
      <w:szCs w:val="20"/>
    </w:rPr>
  </w:style>
  <w:style w:type="character" w:customStyle="1" w:styleId="63">
    <w:name w:val="标题 1 字符"/>
    <w:basedOn w:val="29"/>
    <w:link w:val="5"/>
    <w:autoRedefine/>
    <w:qFormat/>
    <w:uiPriority w:val="9"/>
    <w:rPr>
      <w:rFonts w:ascii="@仿宋_GB2312" w:hAnsi="@仿宋_GB2312" w:eastAsia="@仿宋_GB2312" w:cs="@仿宋_GB2312"/>
      <w:b/>
      <w:bCs/>
      <w:kern w:val="44"/>
      <w:sz w:val="44"/>
      <w:szCs w:val="44"/>
    </w:rPr>
  </w:style>
  <w:style w:type="paragraph" w:customStyle="1" w:styleId="64">
    <w:name w:val="TOC 标题1"/>
    <w:basedOn w:val="5"/>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5">
    <w:name w:val="标题 3 字符"/>
    <w:basedOn w:val="29"/>
    <w:link w:val="7"/>
    <w:autoRedefine/>
    <w:semiHidden/>
    <w:qFormat/>
    <w:uiPriority w:val="9"/>
    <w:rPr>
      <w:rFonts w:ascii="@仿宋_GB2312" w:hAnsi="@仿宋_GB2312" w:eastAsia="@仿宋_GB2312" w:cs="@仿宋_GB2312"/>
      <w:b/>
      <w:bCs/>
      <w:sz w:val="32"/>
      <w:szCs w:val="32"/>
    </w:rPr>
  </w:style>
  <w:style w:type="character" w:customStyle="1" w:styleId="66">
    <w:name w:val="fontstyle01"/>
    <w:basedOn w:val="29"/>
    <w:autoRedefine/>
    <w:qFormat/>
    <w:uiPriority w:val="0"/>
    <w:rPr>
      <w:rFonts w:hint="eastAsia" w:ascii="宋体" w:hAnsi="宋体" w:eastAsia="宋体"/>
      <w:color w:val="000000"/>
      <w:sz w:val="22"/>
      <w:szCs w:val="22"/>
    </w:rPr>
  </w:style>
  <w:style w:type="character" w:customStyle="1" w:styleId="67">
    <w:name w:val="fontstyle21"/>
    <w:basedOn w:val="29"/>
    <w:autoRedefine/>
    <w:qFormat/>
    <w:uiPriority w:val="0"/>
    <w:rPr>
      <w:rFonts w:hint="default" w:ascii="TimesNewRomanPSMT" w:hAnsi="TimesNewRomanPSMT"/>
      <w:color w:val="000000"/>
      <w:sz w:val="22"/>
      <w:szCs w:val="22"/>
    </w:rPr>
  </w:style>
  <w:style w:type="character" w:customStyle="1" w:styleId="68">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9">
    <w:name w:val="标题 4 字符"/>
    <w:basedOn w:val="29"/>
    <w:autoRedefine/>
    <w:semiHidden/>
    <w:qFormat/>
    <w:uiPriority w:val="9"/>
    <w:rPr>
      <w:rFonts w:asciiTheme="majorHAnsi" w:hAnsiTheme="majorHAnsi" w:eastAsiaTheme="majorEastAsia" w:cstheme="majorBidi"/>
      <w:b/>
      <w:bCs/>
      <w:sz w:val="28"/>
      <w:szCs w:val="28"/>
    </w:rPr>
  </w:style>
  <w:style w:type="character" w:customStyle="1" w:styleId="70">
    <w:name w:val="标题 4 字符1"/>
    <w:link w:val="8"/>
    <w:autoRedefine/>
    <w:qFormat/>
    <w:uiPriority w:val="0"/>
    <w:rPr>
      <w:rFonts w:ascii="@仿宋_GB2312" w:hAnsi="@仿宋_GB2312" w:eastAsia="@仿宋_GB2312" w:cs="@仿宋_GB2312"/>
      <w:b/>
      <w:bCs/>
      <w:sz w:val="28"/>
      <w:szCs w:val="28"/>
    </w:rPr>
  </w:style>
  <w:style w:type="character" w:customStyle="1" w:styleId="71">
    <w:name w:val="正文文本 字符"/>
    <w:basedOn w:val="29"/>
    <w:link w:val="12"/>
    <w:autoRedefine/>
    <w:qFormat/>
    <w:uiPriority w:val="0"/>
    <w:rPr>
      <w:rFonts w:ascii="@微软简标宋" w:hAnsi="@微软简标宋" w:eastAsia="@微软简标宋" w:cs="@微软简标宋"/>
      <w:szCs w:val="24"/>
      <w:lang w:val="zh-CN" w:eastAsia="zh-CN"/>
    </w:rPr>
  </w:style>
  <w:style w:type="table" w:customStyle="1" w:styleId="72">
    <w:name w:val="网格型1"/>
    <w:basedOn w:val="27"/>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Table Normal"/>
    <w:autoRedefine/>
    <w:semiHidden/>
    <w:unhideWhenUsed/>
    <w:qFormat/>
    <w:uiPriority w:val="0"/>
    <w:tblPr>
      <w:tblCellMar>
        <w:top w:w="0" w:type="dxa"/>
        <w:left w:w="0" w:type="dxa"/>
        <w:bottom w:w="0" w:type="dxa"/>
        <w:right w:w="0" w:type="dxa"/>
      </w:tblCellMar>
    </w:tblPr>
  </w:style>
  <w:style w:type="paragraph" w:customStyle="1" w:styleId="74">
    <w:name w:val="Table Text"/>
    <w:basedOn w:val="1"/>
    <w:autoRedefine/>
    <w:semiHidden/>
    <w:qFormat/>
    <w:uiPriority w:val="0"/>
    <w:rPr>
      <w:rFonts w:ascii="Arial" w:hAnsi="Arial" w:eastAsia="Arial" w:cs="Arial"/>
      <w:szCs w:val="21"/>
      <w:lang w:eastAsia="en-US"/>
    </w:rPr>
  </w:style>
  <w:style w:type="paragraph" w:customStyle="1" w:styleId="75">
    <w:name w:val="一级标题"/>
    <w:basedOn w:val="1"/>
    <w:next w:val="1"/>
    <w:qFormat/>
    <w:uiPriority w:val="0"/>
    <w:pPr>
      <w:widowControl/>
      <w:spacing w:line="640" w:lineRule="exact"/>
      <w:ind w:firstLine="480" w:firstLineChars="200"/>
      <w:jc w:val="left"/>
    </w:pPr>
    <w:rPr>
      <w:rFonts w:eastAsia="黑体"/>
      <w:kern w:val="0"/>
      <w:sz w:val="20"/>
    </w:rPr>
  </w:style>
  <w:style w:type="table" w:customStyle="1" w:styleId="76">
    <w:name w:val="网格型2"/>
    <w:basedOn w:val="27"/>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7">
    <w:name w:val="hover"/>
    <w:basedOn w:val="29"/>
    <w:qFormat/>
    <w:uiPriority w:val="0"/>
  </w:style>
  <w:style w:type="character" w:customStyle="1" w:styleId="78">
    <w:name w:val="hover1"/>
    <w:basedOn w:val="29"/>
    <w:qFormat/>
    <w:uiPriority w:val="0"/>
    <w:rPr>
      <w:color w:val="2590EB"/>
    </w:rPr>
  </w:style>
  <w:style w:type="character" w:customStyle="1" w:styleId="79">
    <w:name w:val="hover2"/>
    <w:basedOn w:val="29"/>
    <w:qFormat/>
    <w:uiPriority w:val="0"/>
    <w:rPr>
      <w:color w:val="2590EB"/>
    </w:rPr>
  </w:style>
  <w:style w:type="character" w:customStyle="1" w:styleId="80">
    <w:name w:val="hover3"/>
    <w:basedOn w:val="29"/>
    <w:qFormat/>
    <w:uiPriority w:val="0"/>
    <w:rPr>
      <w:color w:val="2590EB"/>
      <w:shd w:val="clear" w:color="auto" w:fill="E9F4FD"/>
    </w:rPr>
  </w:style>
  <w:style w:type="character" w:customStyle="1" w:styleId="81">
    <w:name w:val="批注主题 字符"/>
    <w:basedOn w:val="62"/>
    <w:link w:val="25"/>
    <w:semiHidden/>
    <w:qFormat/>
    <w:uiPriority w:val="99"/>
    <w:rPr>
      <w:rFonts w:ascii="@仿宋_GB2312" w:hAnsi="@仿宋_GB2312" w:eastAsia="@仿宋_GB2312" w:cs="@仿宋_GB2312"/>
      <w:b/>
      <w:bCs/>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7E4B5-04A3-4762-965E-B57A1CE84CC9}">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65</Pages>
  <Words>29006</Words>
  <Characters>30507</Characters>
  <Lines>246</Lines>
  <Paragraphs>69</Paragraphs>
  <TotalTime>0</TotalTime>
  <ScaleCrop>false</ScaleCrop>
  <LinksUpToDate>false</LinksUpToDate>
  <CharactersWithSpaces>32972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2024-08-05T00:39:00Z</dcterms:created>
  <dc:creator>Anakin</dc:creator>
  <cp:lastModifiedBy>luoshuai</cp:lastModifiedBy>
  <cp:lastPrinted>2024-08-06T06:54:00Z</cp:lastPrinted>
  <dcterms:modified xsi:type="dcterms:W3CDTF">2024-08-06T09:04:04Z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9C101D5536A64555B99F5959A310C890_13</vt:lpwstr>
  </property>
</Properties>
</file>