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color w:val="auto"/>
          <w:sz w:val="8"/>
          <w:szCs w:val="8"/>
        </w:rPr>
      </w:pPr>
    </w:p>
    <w:p>
      <w:pPr>
        <w:pStyle w:val="2"/>
        <w:wordWrap w:val="0"/>
        <w:overflowPunct w:val="0"/>
        <w:ind w:left="0" w:leftChars="0" w:firstLine="0" w:firstLineChars="0"/>
        <w:jc w:val="center"/>
        <w:rPr>
          <w:rFonts w:hint="eastAsia" w:ascii="宋体" w:hAnsi="宋体" w:eastAsia="宋体" w:cs="宋体"/>
          <w:b/>
          <w:color w:val="auto"/>
          <w:sz w:val="48"/>
          <w:szCs w:val="40"/>
        </w:rPr>
      </w:pPr>
      <w:r>
        <w:rPr>
          <w:rFonts w:hint="eastAsia" w:ascii="宋体" w:hAnsi="宋体" w:eastAsia="宋体" w:cs="宋体"/>
          <w:b/>
          <w:color w:val="auto"/>
          <w:sz w:val="40"/>
          <w:szCs w:val="40"/>
          <w:lang w:eastAsia="zh-CN"/>
        </w:rPr>
        <w:t>滁州市科技馆暑期前沿科技公益科普课（青少年人工智能）项目</w:t>
      </w:r>
    </w:p>
    <w:p>
      <w:pPr>
        <w:rPr>
          <w:rFonts w:hint="eastAsia" w:ascii="宋体" w:hAnsi="宋体" w:eastAsia="宋体" w:cs="宋体"/>
          <w:b/>
          <w:color w:val="auto"/>
          <w:sz w:val="48"/>
          <w:szCs w:val="40"/>
        </w:rPr>
      </w:pPr>
    </w:p>
    <w:p>
      <w:pPr>
        <w:pStyle w:val="2"/>
        <w:ind w:left="0" w:leftChars="0" w:firstLine="0" w:firstLineChars="0"/>
        <w:rPr>
          <w:rFonts w:hint="eastAsia" w:ascii="宋体" w:hAnsi="宋体" w:eastAsia="宋体" w:cs="宋体"/>
          <w:sz w:val="20"/>
          <w:szCs w:val="22"/>
        </w:rPr>
      </w:pPr>
    </w:p>
    <w:p>
      <w:pPr>
        <w:widowControl/>
        <w:wordWrap w:val="0"/>
        <w:ind w:firstLine="2040" w:firstLineChars="850"/>
        <w:rPr>
          <w:rFonts w:hint="eastAsia" w:ascii="宋体" w:hAnsi="宋体" w:eastAsia="宋体" w:cs="宋体"/>
          <w:bCs/>
          <w:color w:val="auto"/>
          <w:sz w:val="24"/>
          <w:szCs w:val="24"/>
        </w:rPr>
      </w:pPr>
    </w:p>
    <w:p>
      <w:pPr>
        <w:pStyle w:val="2"/>
        <w:ind w:firstLine="560"/>
        <w:rPr>
          <w:rFonts w:hint="eastAsia" w:ascii="宋体" w:hAnsi="宋体" w:eastAsia="宋体" w:cs="宋体"/>
          <w:color w:val="auto"/>
          <w:sz w:val="24"/>
          <w:szCs w:val="24"/>
        </w:rPr>
      </w:pPr>
    </w:p>
    <w:p>
      <w:pPr>
        <w:pStyle w:val="30"/>
        <w:rPr>
          <w:rFonts w:hint="eastAsia" w:ascii="宋体" w:hAnsi="宋体" w:eastAsia="宋体" w:cs="宋体"/>
          <w:color w:val="auto"/>
          <w:sz w:val="24"/>
          <w:szCs w:val="24"/>
        </w:rPr>
      </w:pPr>
    </w:p>
    <w:p>
      <w:pPr>
        <w:pStyle w:val="2"/>
        <w:wordWrap w:val="0"/>
        <w:overflowPunct w:val="0"/>
        <w:ind w:left="0" w:leftChars="0" w:firstLine="0" w:firstLineChars="0"/>
        <w:jc w:val="center"/>
        <w:rPr>
          <w:rFonts w:hint="eastAsia" w:ascii="宋体" w:hAnsi="宋体" w:eastAsia="宋体" w:cs="宋体"/>
          <w:color w:val="auto"/>
          <w:sz w:val="20"/>
          <w:szCs w:val="22"/>
        </w:rPr>
      </w:pPr>
      <w:r>
        <w:rPr>
          <w:rFonts w:hint="eastAsia" w:ascii="宋体" w:hAnsi="宋体" w:eastAsia="宋体" w:cs="宋体"/>
          <w:b/>
          <w:color w:val="auto"/>
          <w:sz w:val="48"/>
          <w:szCs w:val="40"/>
        </w:rPr>
        <w:t>招标文件</w:t>
      </w:r>
    </w:p>
    <w:p>
      <w:pPr>
        <w:pStyle w:val="30"/>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0"/>
        <w:ind w:left="0" w:leftChars="0" w:firstLine="0" w:firstLineChars="0"/>
        <w:rPr>
          <w:rFonts w:hint="eastAsia" w:ascii="宋体" w:hAnsi="宋体" w:eastAsia="宋体" w:cs="宋体"/>
          <w:color w:val="auto"/>
          <w:sz w:val="24"/>
          <w:szCs w:val="24"/>
        </w:rPr>
      </w:pPr>
    </w:p>
    <w:p>
      <w:pPr>
        <w:rPr>
          <w:rFonts w:hint="eastAsia" w:ascii="宋体" w:hAnsi="宋体" w:eastAsia="宋体" w:cs="宋体"/>
          <w:sz w:val="20"/>
          <w:szCs w:val="22"/>
        </w:rPr>
      </w:pPr>
    </w:p>
    <w:p>
      <w:pPr>
        <w:pStyle w:val="30"/>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spacing w:line="900" w:lineRule="exact"/>
        <w:ind w:right="-275" w:rightChars="-131" w:firstLine="281" w:firstLineChars="100"/>
        <w:jc w:val="both"/>
        <w:rPr>
          <w:rFonts w:hint="eastAsia" w:ascii="宋体" w:hAnsi="宋体" w:eastAsia="宋体" w:cs="宋体"/>
          <w:b/>
          <w:sz w:val="28"/>
          <w:szCs w:val="28"/>
        </w:rPr>
      </w:pPr>
      <w:r>
        <w:rPr>
          <w:rFonts w:hint="eastAsia" w:ascii="宋体" w:hAnsi="宋体" w:eastAsia="宋体" w:cs="宋体"/>
          <w:b/>
          <w:sz w:val="28"/>
          <w:szCs w:val="28"/>
        </w:rPr>
        <w:t>采  购  人：</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滁州市科学技术馆</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w:t>
      </w:r>
      <w:r>
        <w:rPr>
          <w:rFonts w:hint="eastAsia" w:ascii="宋体" w:hAnsi="宋体" w:eastAsia="宋体" w:cs="宋体"/>
          <w:b/>
          <w:sz w:val="28"/>
          <w:szCs w:val="28"/>
          <w:u w:val="single"/>
        </w:rPr>
        <w:t xml:space="preserve">   </w:t>
      </w:r>
      <w:r>
        <w:rPr>
          <w:rFonts w:hint="eastAsia" w:ascii="宋体" w:hAnsi="宋体" w:eastAsia="宋体" w:cs="宋体"/>
          <w:b/>
          <w:sz w:val="28"/>
          <w:szCs w:val="28"/>
        </w:rPr>
        <w:t>（盖章）</w:t>
      </w:r>
    </w:p>
    <w:p>
      <w:pPr>
        <w:spacing w:line="900" w:lineRule="exact"/>
        <w:ind w:firstLine="253" w:firstLineChars="100"/>
        <w:jc w:val="both"/>
        <w:rPr>
          <w:rFonts w:hint="eastAsia" w:ascii="宋体" w:hAnsi="宋体" w:eastAsia="宋体" w:cs="宋体"/>
          <w:b/>
          <w:sz w:val="28"/>
          <w:szCs w:val="28"/>
        </w:rPr>
      </w:pPr>
      <w:r>
        <w:rPr>
          <w:rFonts w:hint="eastAsia" w:ascii="宋体" w:hAnsi="宋体" w:eastAsia="宋体" w:cs="宋体"/>
          <w:b/>
          <w:w w:val="90"/>
          <w:sz w:val="28"/>
          <w:szCs w:val="28"/>
        </w:rPr>
        <w:t>代 理 机 构：</w:t>
      </w:r>
      <w:r>
        <w:rPr>
          <w:rFonts w:hint="eastAsia" w:ascii="宋体" w:hAnsi="宋体" w:eastAsia="宋体" w:cs="宋体"/>
          <w:b/>
          <w:w w:val="90"/>
          <w:sz w:val="28"/>
          <w:szCs w:val="28"/>
          <w:u w:val="single"/>
          <w:lang w:val="en-US" w:eastAsia="zh-CN"/>
        </w:rPr>
        <w:t xml:space="preserve">  </w:t>
      </w:r>
      <w:r>
        <w:rPr>
          <w:rFonts w:hint="eastAsia" w:ascii="宋体" w:hAnsi="宋体" w:eastAsia="宋体" w:cs="宋体"/>
          <w:b/>
          <w:sz w:val="28"/>
          <w:szCs w:val="28"/>
          <w:u w:val="single"/>
          <w:lang w:eastAsia="zh-CN"/>
        </w:rPr>
        <w:t>安徽凯泰工程项目管理有限公司</w:t>
      </w:r>
      <w:r>
        <w:rPr>
          <w:rFonts w:hint="eastAsia" w:ascii="宋体" w:hAnsi="宋体" w:eastAsia="宋体" w:cs="宋体"/>
          <w:b/>
          <w:sz w:val="28"/>
          <w:szCs w:val="28"/>
          <w:u w:val="single"/>
          <w:lang w:val="en-US" w:eastAsia="zh-CN"/>
        </w:rPr>
        <w:t xml:space="preserve"> </w:t>
      </w:r>
      <w:r>
        <w:rPr>
          <w:rFonts w:hint="eastAsia" w:ascii="宋体" w:hAnsi="宋体" w:eastAsia="宋体" w:cs="宋体"/>
          <w:b/>
          <w:w w:val="90"/>
          <w:sz w:val="28"/>
          <w:szCs w:val="28"/>
          <w:u w:val="single"/>
        </w:rPr>
        <w:t xml:space="preserve"> </w:t>
      </w:r>
      <w:r>
        <w:rPr>
          <w:rFonts w:hint="eastAsia" w:ascii="宋体" w:hAnsi="宋体" w:eastAsia="宋体" w:cs="宋体"/>
          <w:b/>
          <w:w w:val="90"/>
          <w:sz w:val="28"/>
          <w:szCs w:val="28"/>
        </w:rPr>
        <w:t>（盖章）</w:t>
      </w:r>
    </w:p>
    <w:p>
      <w:pPr>
        <w:spacing w:line="900" w:lineRule="exact"/>
        <w:jc w:val="center"/>
        <w:rPr>
          <w:rFonts w:hint="eastAsia" w:ascii="宋体" w:hAnsi="宋体" w:eastAsia="宋体" w:cs="宋体"/>
          <w:sz w:val="20"/>
          <w:szCs w:val="22"/>
        </w:rPr>
      </w:pPr>
      <w:r>
        <w:rPr>
          <w:rFonts w:hint="eastAsia" w:ascii="宋体" w:hAnsi="宋体" w:eastAsia="宋体" w:cs="宋体"/>
          <w:b/>
          <w:sz w:val="28"/>
          <w:szCs w:val="28"/>
          <w:u w:val="single"/>
          <w:lang w:val="en-US" w:eastAsia="zh-CN"/>
        </w:rPr>
        <w:t xml:space="preserve"> </w:t>
      </w:r>
      <w:r>
        <w:rPr>
          <w:rFonts w:hint="eastAsia" w:ascii="宋体" w:hAnsi="宋体" w:eastAsia="宋体" w:cs="宋体"/>
          <w:b/>
          <w:sz w:val="28"/>
          <w:szCs w:val="28"/>
          <w:u w:val="single"/>
          <w:lang w:eastAsia="zh-CN"/>
        </w:rPr>
        <w:t>2023</w:t>
      </w:r>
      <w:r>
        <w:rPr>
          <w:rFonts w:hint="eastAsia" w:ascii="宋体" w:hAnsi="宋体" w:eastAsia="宋体" w:cs="宋体"/>
          <w:b/>
          <w:sz w:val="28"/>
          <w:szCs w:val="28"/>
          <w:u w:val="single"/>
        </w:rPr>
        <w:t xml:space="preserve"> </w:t>
      </w:r>
      <w:r>
        <w:rPr>
          <w:rFonts w:hint="eastAsia" w:ascii="宋体" w:hAnsi="宋体" w:eastAsia="宋体" w:cs="宋体"/>
          <w:b/>
          <w:sz w:val="28"/>
          <w:szCs w:val="28"/>
        </w:rPr>
        <w:t>年</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6</w:t>
      </w:r>
      <w:r>
        <w:rPr>
          <w:rFonts w:hint="eastAsia" w:ascii="宋体" w:hAnsi="宋体" w:eastAsia="宋体" w:cs="宋体"/>
          <w:b/>
          <w:sz w:val="28"/>
          <w:szCs w:val="28"/>
        </w:rPr>
        <w:t>月</w:t>
      </w:r>
    </w:p>
    <w:p>
      <w:pPr>
        <w:pStyle w:val="2"/>
        <w:rPr>
          <w:rFonts w:hint="eastAsia" w:ascii="宋体" w:hAnsi="宋体" w:eastAsia="宋体" w:cs="宋体"/>
          <w:b/>
          <w:color w:val="auto"/>
          <w:sz w:val="28"/>
          <w:szCs w:val="28"/>
        </w:rPr>
      </w:pPr>
    </w:p>
    <w:sdt>
      <w:sdtPr>
        <w:rPr>
          <w:rFonts w:hint="eastAsia" w:ascii="宋体" w:hAnsi="宋体" w:eastAsia="宋体" w:cs="宋体"/>
          <w:color w:val="auto"/>
          <w:sz w:val="20"/>
          <w:szCs w:val="22"/>
        </w:rPr>
        <w:id w:val="147463862"/>
        <w15:color w:val="DBDBDB"/>
      </w:sdtPr>
      <w:sdtEndPr>
        <w:rPr>
          <w:rFonts w:hint="eastAsia" w:ascii="宋体" w:hAnsi="宋体" w:eastAsia="宋体" w:cs="宋体"/>
          <w:color w:val="auto"/>
          <w:sz w:val="20"/>
          <w:szCs w:val="22"/>
        </w:rPr>
      </w:sdtEndPr>
      <w:sdtContent>
        <w:p>
          <w:pPr>
            <w:ind w:firstLine="3800" w:firstLineChars="1900"/>
            <w:jc w:val="both"/>
            <w:rPr>
              <w:rStyle w:val="74"/>
              <w:rFonts w:hint="eastAsia" w:ascii="宋体" w:hAnsi="宋体" w:eastAsia="宋体" w:cs="宋体"/>
              <w:color w:val="auto"/>
              <w:sz w:val="40"/>
              <w:szCs w:val="40"/>
            </w:rPr>
          </w:pPr>
          <w:r>
            <w:rPr>
              <w:rStyle w:val="74"/>
              <w:rFonts w:hint="eastAsia" w:ascii="宋体" w:hAnsi="宋体" w:eastAsia="宋体" w:cs="宋体"/>
              <w:color w:val="auto"/>
              <w:sz w:val="40"/>
              <w:szCs w:val="40"/>
            </w:rPr>
            <w:t>目录</w:t>
          </w:r>
        </w:p>
        <w:p>
          <w:pPr>
            <w:pStyle w:val="123"/>
            <w:tabs>
              <w:tab w:val="right" w:leader="dot" w:pos="8548"/>
            </w:tabs>
            <w:spacing w:line="720" w:lineRule="auto"/>
            <w:rPr>
              <w:rFonts w:hint="eastAsia" w:ascii="宋体" w:hAnsi="宋体" w:eastAsia="宋体" w:cs="宋体"/>
              <w:color w:val="auto"/>
              <w:sz w:val="21"/>
              <w:szCs w:val="21"/>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TOC \o "1-1" \h \u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"_Toc65"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 xml:space="preserve">第一章 </w:t>
          </w:r>
          <w:r>
            <w:rPr>
              <w:rFonts w:hint="eastAsia" w:ascii="宋体" w:hAnsi="宋体" w:eastAsia="宋体" w:cs="宋体"/>
              <w:color w:val="auto"/>
              <w:sz w:val="21"/>
              <w:szCs w:val="36"/>
              <w:lang w:eastAsia="zh-CN"/>
            </w:rPr>
            <w:t>滁州市科技馆暑期前沿科技公益科普课（青少年人工智能）项目</w:t>
          </w:r>
          <w:r>
            <w:rPr>
              <w:rFonts w:hint="eastAsia" w:ascii="宋体" w:hAnsi="宋体" w:eastAsia="宋体" w:cs="宋体"/>
              <w:color w:val="auto"/>
              <w:sz w:val="21"/>
              <w:szCs w:val="36"/>
            </w:rPr>
            <w:t>招标公告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23"/>
            <w:tabs>
              <w:tab w:val="right" w:leader="dot" w:pos="8548"/>
            </w:tabs>
            <w:spacing w:line="720" w:lineRule="auto"/>
            <w:rPr>
              <w:rFonts w:hint="eastAsia" w:ascii="宋体" w:hAnsi="宋体" w:eastAsia="宋体" w:cs="宋体"/>
              <w:color w:val="auto"/>
              <w:sz w:val="21"/>
              <w:szCs w:val="21"/>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"_Toc5246"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第二章 投标人须知</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fldChar w:fldCharType="end"/>
          </w:r>
        </w:p>
        <w:p>
          <w:pPr>
            <w:pStyle w:val="123"/>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"_Toc19248"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第三章 评标办法</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9</w:t>
          </w:r>
        </w:p>
        <w:p>
          <w:pPr>
            <w:pStyle w:val="123"/>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"_Toc4493"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 xml:space="preserve">第四章  </w:t>
          </w:r>
          <w:r>
            <w:rPr>
              <w:rFonts w:hint="eastAsia" w:ascii="宋体" w:hAnsi="宋体" w:eastAsia="宋体" w:cs="宋体"/>
              <w:color w:val="auto"/>
              <w:sz w:val="21"/>
              <w:szCs w:val="36"/>
              <w:lang w:eastAsia="zh-CN"/>
            </w:rPr>
            <w:t>采购内容及服务要求</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4</w:t>
          </w:r>
        </w:p>
        <w:p>
          <w:pPr>
            <w:pStyle w:val="123"/>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"_Toc28938"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第五章  合同条款及格式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6</w:t>
          </w:r>
        </w:p>
        <w:p>
          <w:pPr>
            <w:pStyle w:val="123"/>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"_Toc9476"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第六章  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2</w:t>
          </w:r>
        </w:p>
        <w:p>
          <w:pPr>
            <w:pStyle w:val="123"/>
            <w:tabs>
              <w:tab w:val="right" w:leader="dot" w:pos="8548"/>
            </w:tabs>
            <w:spacing w:line="72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"_Toc13679"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第七章  招标单位、招标代理机构对本交易文件的确认</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3</w:t>
          </w:r>
        </w:p>
        <w:p>
          <w:pPr>
            <w:pStyle w:val="62"/>
            <w:rPr>
              <w:rFonts w:hint="eastAsia" w:ascii="宋体" w:hAnsi="宋体" w:eastAsia="宋体" w:cs="宋体"/>
              <w:color w:val="auto"/>
              <w:sz w:val="20"/>
              <w:szCs w:val="22"/>
            </w:rPr>
            <w:sectPr>
              <w:headerReference r:id="rId4" w:type="first"/>
              <w:headerReference r:id="rId3" w:type="default"/>
              <w:footerReference r:id="rId5" w:type="default"/>
              <w:footerReference r:id="rId6" w:type="even"/>
              <w:pgSz w:w="11906" w:h="16838"/>
              <w:pgMar w:top="1440" w:right="1558" w:bottom="1440" w:left="1800" w:header="851" w:footer="992" w:gutter="0"/>
              <w:pgNumType w:start="1"/>
              <w:cols w:space="720" w:num="1"/>
              <w:docGrid w:type="lines" w:linePitch="312" w:charSpace="0"/>
            </w:sectPr>
          </w:pPr>
          <w:r>
            <w:rPr>
              <w:rFonts w:hint="eastAsia" w:ascii="宋体" w:hAnsi="宋体" w:eastAsia="宋体" w:cs="宋体"/>
              <w:color w:val="auto"/>
              <w:sz w:val="20"/>
              <w:szCs w:val="22"/>
            </w:rPr>
            <w:fldChar w:fldCharType="end"/>
          </w:r>
        </w:p>
      </w:sdtContent>
    </w:sdt>
    <w:p>
      <w:pPr>
        <w:pStyle w:val="6"/>
        <w:tabs>
          <w:tab w:val="left" w:pos="0"/>
          <w:tab w:val="left" w:pos="3165"/>
          <w:tab w:val="center" w:pos="4153"/>
        </w:tabs>
        <w:autoSpaceDE w:val="0"/>
        <w:autoSpaceDN w:val="0"/>
        <w:adjustRightInd w:val="0"/>
        <w:spacing w:before="0" w:after="0" w:line="240" w:lineRule="auto"/>
        <w:jc w:val="center"/>
        <w:rPr>
          <w:rFonts w:hint="eastAsia" w:ascii="宋体" w:hAnsi="宋体" w:eastAsia="宋体" w:cs="宋体"/>
          <w:color w:val="auto"/>
          <w:sz w:val="28"/>
          <w:szCs w:val="28"/>
        </w:rPr>
      </w:pPr>
      <w:bookmarkStart w:id="0" w:name="_Toc514749282"/>
      <w:bookmarkStart w:id="1" w:name="_Toc65"/>
      <w:r>
        <w:rPr>
          <w:rFonts w:hint="eastAsia" w:ascii="宋体" w:hAnsi="宋体" w:eastAsia="宋体" w:cs="宋体"/>
          <w:color w:val="auto"/>
          <w:sz w:val="36"/>
          <w:szCs w:val="36"/>
        </w:rPr>
        <w:t>第一章</w:t>
      </w:r>
      <w:r>
        <w:rPr>
          <w:rFonts w:hint="eastAsia" w:ascii="宋体" w:hAnsi="宋体" w:eastAsia="宋体" w:cs="宋体"/>
          <w:color w:val="auto"/>
          <w:sz w:val="28"/>
          <w:szCs w:val="28"/>
        </w:rPr>
        <w:t xml:space="preserve"> </w:t>
      </w:r>
      <w:bookmarkEnd w:id="0"/>
      <w:r>
        <w:rPr>
          <w:rFonts w:hint="eastAsia" w:ascii="宋体" w:hAnsi="宋体" w:eastAsia="宋体" w:cs="宋体"/>
          <w:b/>
          <w:bCs/>
          <w:color w:val="auto"/>
          <w:sz w:val="36"/>
          <w:szCs w:val="36"/>
          <w:lang w:eastAsia="zh-CN"/>
        </w:rPr>
        <w:t>滁州市科技馆暑期前沿科技公益科普课（青少年人工智能）项目</w:t>
      </w:r>
      <w:r>
        <w:rPr>
          <w:rFonts w:hint="eastAsia" w:ascii="宋体" w:hAnsi="宋体" w:eastAsia="宋体" w:cs="宋体"/>
          <w:b/>
          <w:bCs/>
          <w:color w:val="auto"/>
          <w:sz w:val="36"/>
          <w:szCs w:val="36"/>
        </w:rPr>
        <w:t>招标公告</w:t>
      </w:r>
      <w:bookmarkEnd w:id="1"/>
    </w:p>
    <w:p>
      <w:pPr>
        <w:wordWrap w:val="0"/>
        <w:overflowPunct w:val="0"/>
        <w:spacing w:line="360" w:lineRule="exact"/>
        <w:rPr>
          <w:rFonts w:hint="eastAsia" w:ascii="宋体" w:hAnsi="宋体" w:eastAsia="宋体" w:cs="宋体"/>
          <w:b w:val="0"/>
          <w:bCs w:val="0"/>
          <w:color w:val="auto"/>
          <w:sz w:val="22"/>
          <w:szCs w:val="22"/>
        </w:rPr>
      </w:pPr>
      <w:bookmarkStart w:id="2" w:name="_Toc28359002"/>
      <w:bookmarkStart w:id="3" w:name="_Toc28359079"/>
      <w:bookmarkStart w:id="4" w:name="_Toc35393790"/>
      <w:bookmarkStart w:id="5" w:name="_Toc35393621"/>
      <w:bookmarkStart w:id="6" w:name="_Hlk24379207"/>
    </w:p>
    <w:p>
      <w:pPr>
        <w:keepNext/>
        <w:keepLines/>
        <w:pageBreakBefore w:val="0"/>
        <w:widowControl w:val="0"/>
        <w:kinsoku/>
        <w:wordWrap w:val="0"/>
        <w:overflowPunct/>
        <w:topLinePunct w:val="0"/>
        <w:autoSpaceDE/>
        <w:autoSpaceDN/>
        <w:bidi w:val="0"/>
        <w:adjustRightInd/>
        <w:snapToGrid/>
        <w:spacing w:before="0" w:after="0" w:line="240" w:lineRule="auto"/>
        <w:ind w:left="0" w:leftChars="0" w:firstLine="420" w:firstLineChars="200"/>
        <w:textAlignment w:val="auto"/>
        <w:outlineLvl w:val="9"/>
        <w:rPr>
          <w:rFonts w:hint="eastAsia" w:ascii="宋体" w:hAnsi="宋体" w:eastAsia="宋体" w:cs="宋体"/>
          <w:b w:val="0"/>
          <w:bCs w:val="0"/>
          <w:color w:val="auto"/>
          <w:sz w:val="21"/>
          <w:szCs w:val="21"/>
          <w:highlight w:val="yellow"/>
        </w:rPr>
      </w:pPr>
      <w:r>
        <w:rPr>
          <w:rFonts w:hint="eastAsia" w:ascii="宋体" w:hAnsi="宋体" w:eastAsia="宋体" w:cs="宋体"/>
          <w:b w:val="0"/>
          <w:color w:val="auto"/>
          <w:sz w:val="21"/>
          <w:szCs w:val="21"/>
          <w:highlight w:val="none"/>
          <w:u w:val="single"/>
          <w:lang w:eastAsia="zh-CN"/>
        </w:rPr>
        <w:t>滁州市科技馆暑期前沿科技公益科普课（青少年人工智能）项目</w:t>
      </w:r>
      <w:r>
        <w:rPr>
          <w:rFonts w:hint="eastAsia" w:ascii="宋体" w:hAnsi="宋体" w:eastAsia="宋体" w:cs="宋体"/>
          <w:b w:val="0"/>
          <w:color w:val="auto"/>
          <w:sz w:val="21"/>
          <w:szCs w:val="21"/>
          <w:highlight w:val="none"/>
        </w:rPr>
        <w:t>的潜在投标人应在</w:t>
      </w:r>
      <w:r>
        <w:rPr>
          <w:rFonts w:hint="eastAsia" w:ascii="宋体" w:hAnsi="宋体" w:eastAsia="宋体" w:cs="宋体"/>
          <w:b w:val="0"/>
          <w:color w:val="auto"/>
          <w:sz w:val="21"/>
          <w:szCs w:val="21"/>
          <w:highlight w:val="none"/>
          <w:u w:val="single"/>
          <w:lang w:eastAsia="zh-CN"/>
        </w:rPr>
        <w:t>滁州市科学技术馆</w:t>
      </w:r>
      <w:r>
        <w:rPr>
          <w:rFonts w:hint="eastAsia" w:ascii="宋体" w:hAnsi="宋体" w:eastAsia="宋体" w:cs="宋体"/>
          <w:b w:val="0"/>
          <w:color w:val="auto"/>
          <w:sz w:val="21"/>
          <w:szCs w:val="21"/>
          <w:highlight w:val="none"/>
          <w:u w:val="single"/>
        </w:rPr>
        <w:t>（</w:t>
      </w:r>
      <w:r>
        <w:rPr>
          <w:rFonts w:hint="eastAsia" w:ascii="宋体" w:hAnsi="宋体" w:eastAsia="宋体" w:cs="宋体"/>
          <w:b w:val="0"/>
          <w:color w:val="auto"/>
          <w:sz w:val="21"/>
          <w:szCs w:val="21"/>
          <w:highlight w:val="none"/>
          <w:u w:val="single"/>
          <w:lang w:eastAsia="zh-CN"/>
        </w:rPr>
        <w:t>http://www.czstm.org.cn/default.aspx</w:t>
      </w:r>
      <w:r>
        <w:rPr>
          <w:rFonts w:hint="eastAsia" w:ascii="宋体" w:hAnsi="宋体" w:eastAsia="宋体" w:cs="宋体"/>
          <w:b w:val="0"/>
          <w:color w:val="auto"/>
          <w:sz w:val="21"/>
          <w:szCs w:val="21"/>
          <w:highlight w:val="none"/>
          <w:u w:val="single"/>
        </w:rPr>
        <w:t>）</w:t>
      </w:r>
      <w:r>
        <w:rPr>
          <w:rFonts w:hint="eastAsia" w:ascii="宋体" w:hAnsi="宋体" w:eastAsia="宋体" w:cs="宋体"/>
          <w:b w:val="0"/>
          <w:color w:val="auto"/>
          <w:sz w:val="21"/>
          <w:szCs w:val="21"/>
          <w:highlight w:val="none"/>
        </w:rPr>
        <w:t>获取招标文件，并于</w:t>
      </w:r>
      <w:r>
        <w:rPr>
          <w:rFonts w:hint="eastAsia" w:ascii="宋体" w:hAnsi="宋体" w:eastAsia="宋体" w:cs="宋体"/>
          <w:b w:val="0"/>
          <w:color w:val="auto"/>
          <w:sz w:val="21"/>
          <w:szCs w:val="21"/>
          <w:highlight w:val="none"/>
          <w:u w:val="single"/>
          <w:lang w:val="en-US" w:eastAsia="zh-CN"/>
        </w:rPr>
        <w:t>2023</w:t>
      </w:r>
      <w:r>
        <w:rPr>
          <w:rFonts w:hint="eastAsia" w:ascii="宋体" w:hAnsi="宋体" w:eastAsia="宋体" w:cs="宋体"/>
          <w:b w:val="0"/>
          <w:color w:val="auto"/>
          <w:sz w:val="21"/>
          <w:szCs w:val="21"/>
          <w:highlight w:val="none"/>
          <w:u w:val="single"/>
        </w:rPr>
        <w:t>年</w:t>
      </w:r>
      <w:r>
        <w:rPr>
          <w:rFonts w:hint="eastAsia" w:ascii="宋体" w:hAnsi="宋体" w:cs="宋体"/>
          <w:b w:val="0"/>
          <w:color w:val="auto"/>
          <w:sz w:val="21"/>
          <w:szCs w:val="21"/>
          <w:highlight w:val="none"/>
          <w:u w:val="single"/>
          <w:lang w:val="en-US" w:eastAsia="zh-CN"/>
        </w:rPr>
        <w:t>7</w:t>
      </w:r>
      <w:r>
        <w:rPr>
          <w:rFonts w:hint="eastAsia" w:ascii="宋体" w:hAnsi="宋体" w:eastAsia="宋体" w:cs="宋体"/>
          <w:b w:val="0"/>
          <w:color w:val="auto"/>
          <w:sz w:val="21"/>
          <w:szCs w:val="21"/>
          <w:highlight w:val="none"/>
          <w:u w:val="single"/>
        </w:rPr>
        <w:t>月</w:t>
      </w:r>
      <w:r>
        <w:rPr>
          <w:rFonts w:hint="eastAsia" w:ascii="宋体" w:hAnsi="宋体" w:cs="宋体"/>
          <w:b w:val="0"/>
          <w:color w:val="auto"/>
          <w:sz w:val="21"/>
          <w:szCs w:val="21"/>
          <w:highlight w:val="none"/>
          <w:u w:val="single"/>
          <w:lang w:val="en-US" w:eastAsia="zh-CN"/>
        </w:rPr>
        <w:t>5</w:t>
      </w:r>
      <w:r>
        <w:rPr>
          <w:rFonts w:hint="eastAsia" w:ascii="宋体" w:hAnsi="宋体" w:eastAsia="宋体" w:cs="宋体"/>
          <w:b w:val="0"/>
          <w:color w:val="auto"/>
          <w:sz w:val="21"/>
          <w:szCs w:val="21"/>
          <w:highlight w:val="none"/>
          <w:u w:val="single"/>
        </w:rPr>
        <w:t>日</w:t>
      </w:r>
      <w:r>
        <w:rPr>
          <w:rFonts w:hint="eastAsia" w:ascii="宋体" w:hAnsi="宋体" w:cs="宋体"/>
          <w:b w:val="0"/>
          <w:color w:val="auto"/>
          <w:sz w:val="21"/>
          <w:szCs w:val="21"/>
          <w:highlight w:val="none"/>
          <w:u w:val="single"/>
          <w:lang w:val="en-US" w:eastAsia="zh-CN"/>
        </w:rPr>
        <w:t>15</w:t>
      </w:r>
      <w:r>
        <w:rPr>
          <w:rFonts w:hint="eastAsia" w:ascii="宋体" w:hAnsi="宋体" w:eastAsia="宋体" w:cs="宋体"/>
          <w:b w:val="0"/>
          <w:color w:val="auto"/>
          <w:sz w:val="21"/>
          <w:szCs w:val="21"/>
          <w:highlight w:val="none"/>
          <w:u w:val="single"/>
        </w:rPr>
        <w:t>点</w:t>
      </w:r>
      <w:r>
        <w:rPr>
          <w:rFonts w:hint="eastAsia" w:ascii="宋体" w:hAnsi="宋体" w:cs="宋体"/>
          <w:b w:val="0"/>
          <w:color w:val="auto"/>
          <w:sz w:val="21"/>
          <w:szCs w:val="21"/>
          <w:highlight w:val="none"/>
          <w:u w:val="single"/>
          <w:lang w:val="en-US" w:eastAsia="zh-CN"/>
        </w:rPr>
        <w:t>0</w:t>
      </w:r>
      <w:r>
        <w:rPr>
          <w:rFonts w:hint="eastAsia" w:ascii="宋体" w:hAnsi="宋体" w:eastAsia="宋体" w:cs="宋体"/>
          <w:b w:val="0"/>
          <w:color w:val="auto"/>
          <w:sz w:val="21"/>
          <w:szCs w:val="21"/>
          <w:highlight w:val="none"/>
          <w:u w:val="single"/>
          <w:lang w:val="en-US" w:eastAsia="zh-CN"/>
        </w:rPr>
        <w:t>0</w:t>
      </w:r>
      <w:r>
        <w:rPr>
          <w:rFonts w:hint="eastAsia" w:ascii="宋体" w:hAnsi="宋体" w:eastAsia="宋体" w:cs="宋体"/>
          <w:b w:val="0"/>
          <w:color w:val="auto"/>
          <w:sz w:val="21"/>
          <w:szCs w:val="21"/>
          <w:highlight w:val="none"/>
          <w:u w:val="single"/>
        </w:rPr>
        <w:t>分</w:t>
      </w:r>
      <w:r>
        <w:rPr>
          <w:rFonts w:hint="eastAsia" w:ascii="宋体" w:hAnsi="宋体" w:eastAsia="宋体" w:cs="宋体"/>
          <w:b w:val="0"/>
          <w:color w:val="auto"/>
          <w:sz w:val="21"/>
          <w:szCs w:val="21"/>
          <w:highlight w:val="none"/>
        </w:rPr>
        <w:t>（北京时间）前递交投标文件。</w:t>
      </w:r>
    </w:p>
    <w:p>
      <w:pPr>
        <w:wordWrap w:val="0"/>
        <w:overflowPunct w:val="0"/>
        <w:spacing w:line="360" w:lineRule="exact"/>
        <w:rPr>
          <w:rFonts w:hint="eastAsia" w:ascii="宋体" w:hAnsi="宋体" w:eastAsia="宋体" w:cs="宋体"/>
          <w:b/>
          <w:bCs/>
          <w:color w:val="auto"/>
          <w:sz w:val="21"/>
          <w:szCs w:val="21"/>
        </w:rPr>
      </w:pPr>
      <w:r>
        <w:rPr>
          <w:rFonts w:hint="eastAsia" w:ascii="宋体" w:hAnsi="宋体" w:eastAsia="宋体" w:cs="宋体"/>
          <w:b w:val="0"/>
          <w:bCs w:val="0"/>
          <w:color w:val="auto"/>
          <w:sz w:val="21"/>
          <w:szCs w:val="21"/>
        </w:rPr>
        <w:t>一、项目基本情况</w:t>
      </w:r>
      <w:bookmarkEnd w:id="2"/>
      <w:bookmarkEnd w:id="3"/>
      <w:bookmarkEnd w:id="4"/>
      <w:bookmarkEnd w:id="5"/>
    </w:p>
    <w:p>
      <w:pPr>
        <w:wordWrap w:val="0"/>
        <w:overflowPunct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bookmarkEnd w:id="6"/>
      <w:r>
        <w:rPr>
          <w:rFonts w:hint="eastAsia" w:ascii="宋体" w:hAnsi="宋体" w:eastAsia="宋体" w:cs="宋体"/>
          <w:color w:val="auto"/>
          <w:sz w:val="21"/>
          <w:szCs w:val="21"/>
          <w:lang w:eastAsia="zh-CN"/>
        </w:rPr>
        <w:t>滁州市科技馆暑期前沿科技公益科普课（青少年人工智能）项目</w:t>
      </w:r>
    </w:p>
    <w:p>
      <w:pPr>
        <w:wordWrap w:val="0"/>
        <w:overflowPunct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预算金额：</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万元</w:t>
      </w:r>
    </w:p>
    <w:p>
      <w:pPr>
        <w:wordWrap w:val="0"/>
        <w:overflowPunct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最高限价：</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万元，投标报价高于最高限价的，其投标文件按无效投标处理。</w:t>
      </w:r>
    </w:p>
    <w:p>
      <w:pPr>
        <w:wordWrap w:val="0"/>
        <w:overflowPunct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采购需求：详见</w:t>
      </w:r>
      <w:r>
        <w:rPr>
          <w:rFonts w:hint="eastAsia" w:ascii="宋体" w:hAnsi="宋体" w:eastAsia="宋体" w:cs="宋体"/>
          <w:color w:val="auto"/>
          <w:sz w:val="21"/>
          <w:szCs w:val="21"/>
          <w:lang w:eastAsia="zh-CN"/>
        </w:rPr>
        <w:t>采购内容及服务要求</w:t>
      </w:r>
    </w:p>
    <w:p>
      <w:pPr>
        <w:wordWrap w:val="0"/>
        <w:overflowPunct w:val="0"/>
        <w:spacing w:line="360" w:lineRule="exact"/>
        <w:ind w:firstLine="420" w:firstLineChars="200"/>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合同履行期限：4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课时全部结束。</w:t>
      </w:r>
    </w:p>
    <w:p>
      <w:pPr>
        <w:wordWrap w:val="0"/>
        <w:overflowPunct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w:t>
      </w:r>
    </w:p>
    <w:p>
      <w:pPr>
        <w:pStyle w:val="7"/>
        <w:numPr>
          <w:ilvl w:val="0"/>
          <w:numId w:val="0"/>
        </w:numPr>
        <w:wordWrap w:val="0"/>
        <w:overflowPunct w:val="0"/>
        <w:spacing w:line="360" w:lineRule="exact"/>
        <w:rPr>
          <w:rFonts w:hint="eastAsia" w:ascii="宋体" w:hAnsi="宋体" w:eastAsia="宋体" w:cs="宋体"/>
          <w:color w:val="auto"/>
          <w:sz w:val="21"/>
          <w:szCs w:val="21"/>
        </w:rPr>
      </w:pPr>
      <w:bookmarkStart w:id="7" w:name="_Toc58430306"/>
      <w:bookmarkStart w:id="8" w:name="_Toc35393622"/>
      <w:bookmarkStart w:id="9" w:name="_Toc28359003"/>
      <w:bookmarkStart w:id="10" w:name="_Toc28359080"/>
      <w:bookmarkStart w:id="11" w:name="_Toc35393791"/>
      <w:r>
        <w:rPr>
          <w:rFonts w:hint="eastAsia" w:ascii="宋体" w:hAnsi="宋体" w:eastAsia="宋体" w:cs="宋体"/>
          <w:b w:val="0"/>
          <w:bCs/>
          <w:color w:val="auto"/>
          <w:sz w:val="21"/>
          <w:szCs w:val="21"/>
        </w:rPr>
        <w:t>二、申请人的资格要求</w:t>
      </w:r>
      <w:bookmarkEnd w:id="7"/>
      <w:bookmarkEnd w:id="8"/>
      <w:bookmarkEnd w:id="9"/>
      <w:bookmarkEnd w:id="10"/>
      <w:bookmarkEnd w:id="11"/>
    </w:p>
    <w:p>
      <w:pPr>
        <w:wordWrap w:val="0"/>
        <w:overflowPunct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w:t>
      </w:r>
    </w:p>
    <w:p>
      <w:pPr>
        <w:wordWrap w:val="0"/>
        <w:overflowPunct w:val="0"/>
        <w:spacing w:line="360" w:lineRule="exact"/>
        <w:ind w:firstLine="420" w:firstLineChars="200"/>
        <w:rPr>
          <w:rFonts w:hint="eastAsia" w:ascii="宋体" w:hAnsi="宋体" w:eastAsia="宋体" w:cs="宋体"/>
          <w:color w:val="auto"/>
          <w:sz w:val="21"/>
          <w:szCs w:val="21"/>
          <w:lang w:eastAsia="zh-CN"/>
        </w:rPr>
      </w:pPr>
      <w:bookmarkStart w:id="12" w:name="_Toc28359004"/>
      <w:bookmarkStart w:id="13" w:name="_Toc28359081"/>
      <w:r>
        <w:rPr>
          <w:rFonts w:hint="eastAsia" w:ascii="宋体" w:hAnsi="宋体" w:eastAsia="宋体" w:cs="宋体"/>
          <w:color w:val="auto"/>
          <w:sz w:val="21"/>
          <w:szCs w:val="21"/>
        </w:rPr>
        <w:t>2.落实政府采购政策需满足的资格要求：专门面向中小企业</w:t>
      </w:r>
      <w:r>
        <w:rPr>
          <w:rFonts w:hint="eastAsia" w:ascii="宋体" w:hAnsi="宋体" w:eastAsia="宋体" w:cs="宋体"/>
          <w:color w:val="auto"/>
          <w:sz w:val="21"/>
          <w:szCs w:val="21"/>
          <w:lang w:eastAsia="zh-CN"/>
        </w:rPr>
        <w:t>；</w:t>
      </w:r>
    </w:p>
    <w:p>
      <w:pPr>
        <w:wordWrap w:val="0"/>
        <w:overflowPunct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3.本项目的特定资格要求：投标人</w:t>
      </w:r>
      <w:r>
        <w:rPr>
          <w:rFonts w:hint="eastAsia" w:ascii="宋体" w:hAnsi="宋体" w:eastAsia="宋体" w:cs="宋体"/>
          <w:color w:val="auto"/>
          <w:sz w:val="21"/>
          <w:szCs w:val="21"/>
          <w:lang w:eastAsia="zh-CN"/>
        </w:rPr>
        <w:t>具有</w:t>
      </w:r>
      <w:r>
        <w:rPr>
          <w:rFonts w:hint="eastAsia" w:ascii="宋体" w:hAnsi="宋体" w:eastAsia="宋体" w:cs="宋体"/>
          <w:color w:val="auto"/>
          <w:sz w:val="21"/>
          <w:szCs w:val="21"/>
        </w:rPr>
        <w:t>有效的营业执照、税务登记证、组织机构代码证（或三证合一有效证件）；</w:t>
      </w:r>
    </w:p>
    <w:p>
      <w:pPr>
        <w:wordWrap w:val="0"/>
        <w:overflowPunct w:val="0"/>
        <w:spacing w:line="360" w:lineRule="exact"/>
        <w:ind w:firstLine="420" w:firstLineChars="200"/>
        <w:rPr>
          <w:rFonts w:hint="eastAsia" w:ascii="宋体" w:hAnsi="宋体" w:eastAsia="宋体" w:cs="宋体"/>
          <w:color w:val="auto"/>
          <w:sz w:val="21"/>
          <w:szCs w:val="21"/>
        </w:rPr>
      </w:pPr>
      <w:bookmarkStart w:id="14" w:name="_Toc35393623"/>
      <w:bookmarkStart w:id="15" w:name="_Toc58430307"/>
      <w:bookmarkStart w:id="16" w:name="_Toc35393792"/>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.信誉要求：</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不得存在以下情形：</w:t>
      </w:r>
    </w:p>
    <w:p>
      <w:pPr>
        <w:wordWrap w:val="0"/>
        <w:overflowPunct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①投标人被人民法院列入失信被执行人的；</w:t>
      </w:r>
    </w:p>
    <w:p>
      <w:pPr>
        <w:wordWrap w:val="0"/>
        <w:overflowPunct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②</w:t>
      </w:r>
      <w:r>
        <w:rPr>
          <w:rFonts w:hint="eastAsia" w:ascii="宋体" w:hAnsi="宋体" w:eastAsia="宋体" w:cs="宋体"/>
          <w:color w:val="auto"/>
          <w:sz w:val="21"/>
          <w:szCs w:val="21"/>
        </w:rPr>
        <w:t>投标人或其法定代表人或拟派项目经理（建造师）前三年有行贿犯罪行为的</w:t>
      </w:r>
      <w:r>
        <w:rPr>
          <w:rFonts w:hint="eastAsia" w:ascii="宋体" w:hAnsi="宋体" w:eastAsia="宋体" w:cs="宋体"/>
          <w:color w:val="auto"/>
          <w:sz w:val="21"/>
          <w:szCs w:val="21"/>
          <w:lang w:val="en-US" w:eastAsia="zh-CN"/>
        </w:rPr>
        <w:t>；</w:t>
      </w:r>
    </w:p>
    <w:p>
      <w:pPr>
        <w:wordWrap w:val="0"/>
        <w:overflowPunct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③投标人被市场监督管理部门列入经营异常名录或者严重违法企业名单的；</w:t>
      </w:r>
    </w:p>
    <w:p>
      <w:pPr>
        <w:wordWrap w:val="0"/>
        <w:overflowPunct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④投标人被税务部门列入重大税收违法案件当事人的；</w:t>
      </w:r>
    </w:p>
    <w:p>
      <w:pPr>
        <w:wordWrap w:val="0"/>
        <w:overflowPunct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⑤投标人被政府采购监管部门列入政府采购严重违法失信行为记录名单的；</w:t>
      </w:r>
    </w:p>
    <w:p>
      <w:pPr>
        <w:wordWrap w:val="0"/>
        <w:overflowPunct w:val="0"/>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⑥在“信用中国”网站上披露仍在公示期的严重失信行为的。</w:t>
      </w:r>
    </w:p>
    <w:p>
      <w:pPr>
        <w:wordWrap w:val="0"/>
        <w:overflowPunct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5.投标人所属分公司、办事处等分支机构存在第4款信誉要求①-⑥项情形之一的，接受投标人参加本项目。</w:t>
      </w:r>
    </w:p>
    <w:p>
      <w:pPr>
        <w:wordWrap w:val="0"/>
        <w:overflowPunct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备注：第4、5条按照“关于联合惩戒失信行为加强信用查询管理的通知”查询或承诺。</w:t>
      </w:r>
    </w:p>
    <w:p>
      <w:pPr>
        <w:pStyle w:val="7"/>
        <w:numPr>
          <w:ilvl w:val="0"/>
          <w:numId w:val="0"/>
        </w:numPr>
        <w:wordWrap w:val="0"/>
        <w:overflowPunct w:val="0"/>
        <w:spacing w:line="360" w:lineRule="exact"/>
        <w:rPr>
          <w:rFonts w:hint="eastAsia" w:ascii="宋体" w:hAnsi="宋体" w:eastAsia="宋体" w:cs="宋体"/>
          <w:color w:val="auto"/>
          <w:sz w:val="21"/>
          <w:szCs w:val="21"/>
        </w:rPr>
      </w:pPr>
      <w:r>
        <w:rPr>
          <w:rFonts w:hint="eastAsia" w:ascii="宋体" w:hAnsi="宋体" w:eastAsia="宋体" w:cs="宋体"/>
          <w:b w:val="0"/>
          <w:bCs/>
          <w:color w:val="auto"/>
          <w:sz w:val="21"/>
          <w:szCs w:val="21"/>
        </w:rPr>
        <w:t>三、获取招标文件</w:t>
      </w:r>
      <w:bookmarkEnd w:id="12"/>
      <w:bookmarkEnd w:id="13"/>
      <w:bookmarkEnd w:id="14"/>
      <w:bookmarkEnd w:id="15"/>
      <w:bookmarkEnd w:id="16"/>
    </w:p>
    <w:p>
      <w:pPr>
        <w:wordWrap w:val="0"/>
        <w:overflowPunct w:val="0"/>
        <w:spacing w:line="360" w:lineRule="exact"/>
        <w:ind w:firstLine="540"/>
        <w:rPr>
          <w:rFonts w:hint="eastAsia" w:ascii="宋体" w:hAnsi="宋体" w:eastAsia="宋体" w:cs="宋体"/>
          <w:iCs/>
          <w:color w:val="auto"/>
          <w:sz w:val="21"/>
          <w:szCs w:val="21"/>
          <w:highlight w:val="yellow"/>
          <w:u w:val="single"/>
        </w:rPr>
      </w:pPr>
      <w:r>
        <w:rPr>
          <w:rFonts w:hint="eastAsia" w:ascii="宋体" w:hAnsi="宋体" w:eastAsia="宋体" w:cs="宋体"/>
          <w:color w:val="auto"/>
          <w:sz w:val="21"/>
          <w:szCs w:val="21"/>
        </w:rPr>
        <w:t>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2023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lang w:eastAsia="zh-CN"/>
        </w:rPr>
        <w:t>2023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日</w:t>
      </w:r>
    </w:p>
    <w:p>
      <w:pPr>
        <w:wordWrap w:val="0"/>
        <w:overflowPunct w:val="0"/>
        <w:spacing w:line="360" w:lineRule="exact"/>
        <w:ind w:firstLine="540"/>
        <w:rPr>
          <w:rFonts w:hint="eastAsia" w:ascii="宋体" w:hAnsi="宋体" w:eastAsia="宋体" w:cs="宋体"/>
          <w:sz w:val="16"/>
          <w:szCs w:val="16"/>
          <w:u w:val="none"/>
        </w:rPr>
      </w:pPr>
      <w:r>
        <w:rPr>
          <w:rFonts w:hint="eastAsia" w:ascii="宋体" w:hAnsi="宋体" w:eastAsia="宋体" w:cs="宋体"/>
          <w:color w:val="auto"/>
          <w:sz w:val="21"/>
          <w:szCs w:val="21"/>
        </w:rPr>
        <w:t>地点：</w:t>
      </w:r>
      <w:r>
        <w:rPr>
          <w:rFonts w:hint="eastAsia" w:ascii="宋体" w:hAnsi="宋体" w:eastAsia="宋体" w:cs="宋体"/>
          <w:color w:val="auto"/>
          <w:sz w:val="21"/>
          <w:szCs w:val="21"/>
          <w:lang w:eastAsia="zh-CN"/>
        </w:rPr>
        <w:t>滁州市科学技术馆</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http://www.czstm.org.cn/default.aspx</w:t>
      </w:r>
      <w:r>
        <w:rPr>
          <w:rFonts w:hint="eastAsia" w:ascii="宋体" w:hAnsi="宋体" w:eastAsia="宋体" w:cs="宋体"/>
          <w:color w:val="auto"/>
          <w:sz w:val="21"/>
          <w:szCs w:val="21"/>
        </w:rPr>
        <w:t>）</w:t>
      </w:r>
    </w:p>
    <w:p>
      <w:pPr>
        <w:wordWrap w:val="0"/>
        <w:overflowPunct w:val="0"/>
        <w:spacing w:line="360" w:lineRule="exact"/>
        <w:ind w:firstLine="540"/>
        <w:rPr>
          <w:rFonts w:hint="eastAsia" w:ascii="宋体" w:hAnsi="宋体" w:eastAsia="宋体" w:cs="宋体"/>
          <w:color w:val="auto"/>
          <w:sz w:val="21"/>
          <w:szCs w:val="21"/>
          <w:u w:val="single"/>
        </w:rPr>
      </w:pPr>
      <w:r>
        <w:rPr>
          <w:rFonts w:hint="eastAsia" w:ascii="宋体" w:hAnsi="宋体" w:eastAsia="宋体" w:cs="宋体"/>
          <w:color w:val="auto"/>
          <w:sz w:val="21"/>
          <w:szCs w:val="21"/>
        </w:rPr>
        <w:t>方式：网上下载</w:t>
      </w:r>
    </w:p>
    <w:p>
      <w:pPr>
        <w:wordWrap w:val="0"/>
        <w:overflowPunct w:val="0"/>
        <w:spacing w:line="360" w:lineRule="exact"/>
        <w:ind w:firstLine="540"/>
        <w:rPr>
          <w:rFonts w:hint="eastAsia" w:ascii="宋体" w:hAnsi="宋体" w:eastAsia="宋体" w:cs="宋体"/>
          <w:color w:val="auto"/>
          <w:sz w:val="21"/>
          <w:szCs w:val="21"/>
        </w:rPr>
      </w:pPr>
      <w:r>
        <w:rPr>
          <w:rFonts w:hint="eastAsia" w:ascii="宋体" w:hAnsi="宋体" w:eastAsia="宋体" w:cs="宋体"/>
          <w:color w:val="auto"/>
          <w:sz w:val="21"/>
          <w:szCs w:val="21"/>
        </w:rPr>
        <w:t>售价：0元</w:t>
      </w:r>
    </w:p>
    <w:p>
      <w:pPr>
        <w:pStyle w:val="7"/>
        <w:numPr>
          <w:ilvl w:val="0"/>
          <w:numId w:val="0"/>
        </w:numPr>
        <w:wordWrap w:val="0"/>
        <w:overflowPunct w:val="0"/>
        <w:spacing w:line="360" w:lineRule="exact"/>
        <w:rPr>
          <w:rFonts w:hint="eastAsia" w:ascii="宋体" w:hAnsi="宋体" w:eastAsia="宋体" w:cs="宋体"/>
          <w:color w:val="auto"/>
          <w:sz w:val="21"/>
          <w:szCs w:val="21"/>
          <w:highlight w:val="none"/>
        </w:rPr>
      </w:pPr>
      <w:bookmarkStart w:id="17" w:name="_Toc28359082"/>
      <w:bookmarkStart w:id="18" w:name="_Toc28359005"/>
      <w:bookmarkStart w:id="19" w:name="_Toc35393624"/>
      <w:bookmarkStart w:id="20" w:name="_Toc58430308"/>
      <w:bookmarkStart w:id="21" w:name="_Toc35393793"/>
      <w:r>
        <w:rPr>
          <w:rFonts w:hint="eastAsia" w:ascii="宋体" w:hAnsi="宋体" w:eastAsia="宋体" w:cs="宋体"/>
          <w:b w:val="0"/>
          <w:bCs/>
          <w:color w:val="auto"/>
          <w:sz w:val="21"/>
          <w:szCs w:val="21"/>
        </w:rPr>
        <w:t>四</w:t>
      </w:r>
      <w:r>
        <w:rPr>
          <w:rFonts w:hint="eastAsia" w:ascii="宋体" w:hAnsi="宋体" w:eastAsia="宋体" w:cs="宋体"/>
          <w:b w:val="0"/>
          <w:bCs/>
          <w:color w:val="auto"/>
          <w:sz w:val="21"/>
          <w:szCs w:val="21"/>
          <w:highlight w:val="none"/>
        </w:rPr>
        <w:t>、提交投标文件</w:t>
      </w:r>
      <w:bookmarkEnd w:id="17"/>
      <w:bookmarkEnd w:id="18"/>
      <w:r>
        <w:rPr>
          <w:rFonts w:hint="eastAsia" w:ascii="宋体" w:hAnsi="宋体" w:eastAsia="宋体" w:cs="宋体"/>
          <w:b w:val="0"/>
          <w:bCs/>
          <w:color w:val="auto"/>
          <w:sz w:val="21"/>
          <w:szCs w:val="21"/>
          <w:highlight w:val="none"/>
        </w:rPr>
        <w:t>截止时间、开标时间和地点</w:t>
      </w:r>
      <w:bookmarkEnd w:id="19"/>
      <w:bookmarkEnd w:id="20"/>
      <w:bookmarkEnd w:id="21"/>
    </w:p>
    <w:p>
      <w:pPr>
        <w:wordWrap w:val="0"/>
        <w:overflowPunct w:val="0"/>
        <w:spacing w:line="360" w:lineRule="exact"/>
        <w:ind w:firstLine="420" w:firstLineChars="200"/>
        <w:rPr>
          <w:rFonts w:hint="eastAsia" w:ascii="宋体" w:hAnsi="宋体" w:eastAsia="宋体" w:cs="宋体"/>
          <w:bCs/>
          <w:iCs/>
          <w:color w:val="auto"/>
          <w:sz w:val="21"/>
          <w:szCs w:val="21"/>
          <w:highlight w:val="none"/>
          <w:u w:val="single"/>
        </w:rPr>
      </w:pPr>
      <w:r>
        <w:rPr>
          <w:rFonts w:hint="eastAsia" w:ascii="宋体" w:hAnsi="宋体" w:eastAsia="宋体" w:cs="宋体"/>
          <w:color w:val="auto"/>
          <w:sz w:val="21"/>
          <w:szCs w:val="21"/>
          <w:highlight w:val="none"/>
          <w:lang w:eastAsia="zh-CN"/>
        </w:rPr>
        <w:t>2023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bCs/>
          <w:color w:val="auto"/>
          <w:sz w:val="21"/>
          <w:szCs w:val="21"/>
          <w:highlight w:val="none"/>
        </w:rPr>
        <w:t>点</w:t>
      </w:r>
      <w:r>
        <w:rPr>
          <w:rFonts w:hint="eastAsia" w:ascii="宋体" w:hAnsi="宋体" w:cs="宋体"/>
          <w:bCs/>
          <w:color w:val="auto"/>
          <w:sz w:val="21"/>
          <w:szCs w:val="21"/>
          <w:highlight w:val="none"/>
          <w:lang w:val="en-US" w:eastAsia="zh-CN"/>
        </w:rPr>
        <w:t>00</w:t>
      </w:r>
      <w:r>
        <w:rPr>
          <w:rFonts w:hint="eastAsia" w:ascii="宋体" w:hAnsi="宋体" w:eastAsia="宋体" w:cs="宋体"/>
          <w:bCs/>
          <w:color w:val="auto"/>
          <w:sz w:val="21"/>
          <w:szCs w:val="21"/>
          <w:highlight w:val="none"/>
        </w:rPr>
        <w:t>分（北京时间）</w:t>
      </w:r>
    </w:p>
    <w:p>
      <w:pPr>
        <w:wordWrap w:val="0"/>
        <w:overflowPunct w:val="0"/>
        <w:spacing w:line="36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color w:val="auto"/>
          <w:sz w:val="21"/>
          <w:szCs w:val="21"/>
        </w:rPr>
        <w:t>地点：滁州市科技馆四楼会议室 (中都大道与同乐路交叉路口政务中心西北滁州市科技馆）</w:t>
      </w:r>
    </w:p>
    <w:p>
      <w:pPr>
        <w:pStyle w:val="7"/>
        <w:numPr>
          <w:ilvl w:val="0"/>
          <w:numId w:val="0"/>
        </w:numPr>
        <w:wordWrap w:val="0"/>
        <w:overflowPunct w:val="0"/>
        <w:spacing w:line="360" w:lineRule="exact"/>
        <w:rPr>
          <w:rFonts w:hint="eastAsia" w:ascii="宋体" w:hAnsi="宋体" w:eastAsia="宋体" w:cs="宋体"/>
          <w:bCs/>
          <w:color w:val="auto"/>
          <w:sz w:val="21"/>
          <w:szCs w:val="21"/>
        </w:rPr>
      </w:pPr>
      <w:bookmarkStart w:id="22" w:name="_Toc35393625"/>
      <w:bookmarkStart w:id="23" w:name="_Toc28359084"/>
      <w:bookmarkStart w:id="24" w:name="_Toc35393794"/>
      <w:bookmarkStart w:id="25" w:name="_Toc58430309"/>
      <w:bookmarkStart w:id="26" w:name="_Toc28359007"/>
      <w:r>
        <w:rPr>
          <w:rFonts w:hint="eastAsia" w:ascii="宋体" w:hAnsi="宋体" w:eastAsia="宋体" w:cs="宋体"/>
          <w:b w:val="0"/>
          <w:bCs/>
          <w:color w:val="auto"/>
          <w:sz w:val="21"/>
          <w:szCs w:val="21"/>
        </w:rPr>
        <w:t>五、公告期限</w:t>
      </w:r>
      <w:bookmarkEnd w:id="22"/>
      <w:bookmarkEnd w:id="23"/>
      <w:bookmarkEnd w:id="24"/>
      <w:bookmarkEnd w:id="25"/>
      <w:bookmarkEnd w:id="26"/>
    </w:p>
    <w:p>
      <w:pPr>
        <w:wordWrap w:val="0"/>
        <w:overflowPunct w:val="0"/>
        <w:spacing w:line="36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自本公告发布之日起</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个工作日。</w:t>
      </w:r>
    </w:p>
    <w:p>
      <w:pPr>
        <w:pStyle w:val="7"/>
        <w:numPr>
          <w:ilvl w:val="0"/>
          <w:numId w:val="0"/>
        </w:numPr>
        <w:wordWrap w:val="0"/>
        <w:overflowPunct w:val="0"/>
        <w:spacing w:line="360" w:lineRule="exac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六、投标保证金金额及缴纳账户</w:t>
      </w:r>
    </w:p>
    <w:p>
      <w:pPr>
        <w:wordWrap w:val="0"/>
        <w:overflowPunct w:val="0"/>
        <w:spacing w:line="360" w:lineRule="exact"/>
        <w:ind w:firstLine="420" w:firstLineChars="200"/>
        <w:rPr>
          <w:rFonts w:hint="eastAsia" w:ascii="宋体" w:hAnsi="宋体" w:eastAsia="宋体" w:cs="宋体"/>
          <w:sz w:val="16"/>
          <w:szCs w:val="20"/>
        </w:rPr>
      </w:pPr>
      <w:r>
        <w:rPr>
          <w:rFonts w:hint="eastAsia" w:ascii="宋体" w:hAnsi="宋体" w:eastAsia="宋体" w:cs="宋体"/>
          <w:color w:val="auto"/>
          <w:sz w:val="21"/>
          <w:szCs w:val="21"/>
        </w:rPr>
        <w:t>是否要求投标人提交投标保证金：不要求。</w:t>
      </w:r>
    </w:p>
    <w:p>
      <w:pPr>
        <w:pStyle w:val="7"/>
        <w:numPr>
          <w:ilvl w:val="0"/>
          <w:numId w:val="0"/>
        </w:numPr>
        <w:wordWrap w:val="0"/>
        <w:overflowPunct w:val="0"/>
        <w:spacing w:line="360" w:lineRule="exact"/>
        <w:rPr>
          <w:rFonts w:hint="eastAsia" w:ascii="宋体" w:hAnsi="宋体" w:eastAsia="宋体" w:cs="宋体"/>
          <w:color w:val="auto"/>
          <w:sz w:val="21"/>
          <w:szCs w:val="21"/>
        </w:rPr>
      </w:pPr>
      <w:bookmarkStart w:id="27" w:name="_Toc58430312"/>
      <w:r>
        <w:rPr>
          <w:rFonts w:hint="eastAsia" w:ascii="宋体" w:hAnsi="宋体" w:eastAsia="宋体" w:cs="宋体"/>
          <w:b w:val="0"/>
          <w:bCs/>
          <w:color w:val="auto"/>
          <w:sz w:val="21"/>
          <w:szCs w:val="21"/>
        </w:rPr>
        <w:t>七、对本次招标提出询问，请按以下方式联系</w:t>
      </w:r>
      <w:bookmarkEnd w:id="27"/>
    </w:p>
    <w:p>
      <w:pPr>
        <w:widowControl/>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1.采购人信息</w:t>
      </w:r>
    </w:p>
    <w:p>
      <w:pPr>
        <w:spacing w:line="36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名称：</w:t>
      </w:r>
      <w:r>
        <w:rPr>
          <w:rFonts w:hint="eastAsia" w:ascii="宋体" w:hAnsi="宋体" w:eastAsia="宋体" w:cs="宋体"/>
          <w:color w:val="auto"/>
          <w:sz w:val="21"/>
          <w:szCs w:val="21"/>
          <w:lang w:eastAsia="zh-CN"/>
        </w:rPr>
        <w:t xml:space="preserve">滁州市科学技术馆 </w:t>
      </w:r>
    </w:p>
    <w:p>
      <w:pPr>
        <w:spacing w:line="36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eastAsia="zh-CN"/>
        </w:rPr>
        <w:t>中都大道与同乐路交叉路口政务中心西北滁州市科技馆</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联系方式：</w:t>
      </w:r>
      <w:bookmarkStart w:id="28" w:name="_Toc28359009"/>
      <w:bookmarkStart w:id="29" w:name="_Toc28359086"/>
      <w:r>
        <w:rPr>
          <w:rFonts w:hint="eastAsia" w:ascii="宋体" w:hAnsi="宋体" w:eastAsia="宋体" w:cs="宋体"/>
          <w:color w:val="auto"/>
          <w:sz w:val="21"/>
          <w:szCs w:val="21"/>
          <w:lang w:val="en-US" w:eastAsia="zh-CN"/>
        </w:rPr>
        <w:t>0550-3062150</w:t>
      </w:r>
      <w:r>
        <w:rPr>
          <w:rFonts w:hint="eastAsia" w:ascii="宋体" w:hAnsi="宋体" w:eastAsia="宋体" w:cs="宋体"/>
          <w:color w:val="auto"/>
          <w:sz w:val="21"/>
          <w:szCs w:val="21"/>
          <w:shd w:val="clear" w:color="auto" w:fill="FFFFFF"/>
        </w:rPr>
        <w:t xml:space="preserve"> </w:t>
      </w:r>
    </w:p>
    <w:p>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2.采购代理机构信息</w:t>
      </w:r>
      <w:bookmarkEnd w:id="28"/>
      <w:bookmarkEnd w:id="29"/>
    </w:p>
    <w:p>
      <w:pPr>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名称：</w:t>
      </w:r>
      <w:r>
        <w:rPr>
          <w:rFonts w:hint="eastAsia" w:ascii="宋体" w:hAnsi="宋体" w:eastAsia="宋体" w:cs="宋体"/>
          <w:color w:val="auto"/>
          <w:sz w:val="21"/>
          <w:szCs w:val="21"/>
          <w:lang w:eastAsia="zh-CN"/>
        </w:rPr>
        <w:t>安徽凯泰工程项目管理有限公司</w:t>
      </w:r>
    </w:p>
    <w:p>
      <w:pPr>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eastAsia="zh-CN"/>
        </w:rPr>
        <w:t>安徽省滁州市开发区花园东路666号</w:t>
      </w:r>
    </w:p>
    <w:p>
      <w:pPr>
        <w:spacing w:line="36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联系方式：</w:t>
      </w:r>
      <w:bookmarkStart w:id="30" w:name="_Toc28359010"/>
      <w:bookmarkStart w:id="31" w:name="_Toc28359087"/>
      <w:r>
        <w:rPr>
          <w:rFonts w:hint="eastAsia" w:ascii="宋体" w:hAnsi="宋体" w:eastAsia="宋体" w:cs="宋体"/>
          <w:color w:val="auto"/>
          <w:sz w:val="21"/>
          <w:szCs w:val="21"/>
          <w:lang w:eastAsia="zh-CN"/>
        </w:rPr>
        <w:t>18155093151</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3.项目联系方式</w:t>
      </w:r>
      <w:bookmarkEnd w:id="30"/>
      <w:bookmarkEnd w:id="31"/>
    </w:p>
    <w:p>
      <w:pPr>
        <w:pStyle w:val="21"/>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项目联系人：</w:t>
      </w:r>
      <w:r>
        <w:rPr>
          <w:rFonts w:hint="eastAsia" w:ascii="宋体" w:hAnsi="宋体" w:eastAsia="宋体" w:cs="宋体"/>
          <w:color w:val="auto"/>
          <w:sz w:val="21"/>
          <w:szCs w:val="21"/>
          <w:lang w:eastAsia="zh-CN"/>
        </w:rPr>
        <w:t>张工、徐艳</w:t>
      </w:r>
    </w:p>
    <w:p>
      <w:pPr>
        <w:spacing w:line="360" w:lineRule="exact"/>
        <w:ind w:firstLine="420" w:firstLineChars="200"/>
        <w:rPr>
          <w:rFonts w:hint="eastAsia" w:ascii="宋体" w:hAnsi="宋体" w:eastAsia="宋体" w:cs="宋体"/>
          <w:color w:val="auto"/>
          <w:sz w:val="20"/>
          <w:szCs w:val="20"/>
          <w:lang w:eastAsia="zh-CN"/>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0550-3062150</w:t>
      </w:r>
      <w:r>
        <w:rPr>
          <w:rFonts w:hint="eastAsia" w:ascii="宋体" w:hAnsi="宋体" w:eastAsia="宋体" w:cs="宋体"/>
          <w:color w:val="auto"/>
          <w:sz w:val="21"/>
          <w:szCs w:val="21"/>
          <w:lang w:eastAsia="zh-CN"/>
        </w:rPr>
        <w:t>、18155093151</w:t>
      </w: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lang w:val="en-US" w:eastAsia="zh-CN"/>
        </w:rPr>
      </w:pPr>
      <w:r>
        <w:rPr>
          <w:rFonts w:hint="eastAsia" w:ascii="宋体" w:hAnsi="宋体" w:eastAsia="宋体" w:cs="宋体"/>
          <w:color w:val="auto"/>
          <w:sz w:val="20"/>
          <w:szCs w:val="22"/>
          <w:lang w:val="en-US" w:eastAsia="zh-CN"/>
        </w:rPr>
        <w:t xml:space="preserve"> </w:t>
      </w: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sz w:val="20"/>
          <w:szCs w:val="22"/>
        </w:rPr>
      </w:pPr>
    </w:p>
    <w:p>
      <w:pPr>
        <w:rPr>
          <w:rFonts w:hint="eastAsia" w:ascii="宋体" w:hAnsi="宋体" w:eastAsia="宋体" w:cs="宋体"/>
          <w:b/>
          <w:color w:val="auto"/>
          <w:sz w:val="28"/>
          <w:szCs w:val="28"/>
        </w:rPr>
      </w:pPr>
      <w:bookmarkStart w:id="32" w:name="_Toc5246"/>
      <w:bookmarkStart w:id="33" w:name="_Toc514749283"/>
      <w:r>
        <w:rPr>
          <w:rFonts w:hint="eastAsia" w:ascii="宋体" w:hAnsi="宋体" w:eastAsia="宋体" w:cs="宋体"/>
          <w:b/>
          <w:color w:val="auto"/>
          <w:sz w:val="28"/>
          <w:szCs w:val="28"/>
        </w:rPr>
        <w:br w:type="page"/>
      </w:r>
    </w:p>
    <w:p>
      <w:pPr>
        <w:spacing w:before="156" w:beforeLines="50" w:after="156" w:afterLines="50"/>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第二章 投标人须知</w:t>
      </w:r>
      <w:bookmarkEnd w:id="32"/>
      <w:bookmarkEnd w:id="33"/>
    </w:p>
    <w:p>
      <w:pPr>
        <w:snapToGrid w:val="0"/>
        <w:spacing w:line="500" w:lineRule="exact"/>
        <w:jc w:val="center"/>
        <w:outlineLvl w:val="1"/>
        <w:rPr>
          <w:rFonts w:hint="eastAsia" w:ascii="宋体" w:hAnsi="宋体" w:eastAsia="宋体" w:cs="宋体"/>
          <w:b/>
          <w:color w:val="auto"/>
          <w:sz w:val="24"/>
          <w:szCs w:val="24"/>
        </w:rPr>
      </w:pPr>
      <w:bookmarkStart w:id="34" w:name="_Toc514749284"/>
      <w:bookmarkStart w:id="35" w:name="_Toc449028865"/>
      <w:r>
        <w:rPr>
          <w:rFonts w:hint="eastAsia" w:ascii="宋体" w:hAnsi="宋体" w:eastAsia="宋体" w:cs="宋体"/>
          <w:b/>
          <w:color w:val="auto"/>
          <w:sz w:val="28"/>
          <w:szCs w:val="28"/>
        </w:rPr>
        <w:t>一、</w:t>
      </w:r>
      <w:r>
        <w:rPr>
          <w:rFonts w:hint="eastAsia" w:ascii="宋体" w:hAnsi="宋体" w:eastAsia="宋体" w:cs="宋体"/>
          <w:b/>
          <w:color w:val="auto"/>
          <w:sz w:val="24"/>
          <w:szCs w:val="24"/>
        </w:rPr>
        <w:t>投标人须知前附表</w:t>
      </w:r>
      <w:bookmarkEnd w:id="34"/>
      <w:bookmarkEnd w:id="35"/>
    </w:p>
    <w:tbl>
      <w:tblPr>
        <w:tblStyle w:val="34"/>
        <w:tblpPr w:leftFromText="180" w:rightFromText="180" w:vertAnchor="text" w:horzAnchor="page" w:tblpX="1230" w:tblpY="498"/>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854"/>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条款号</w:t>
            </w:r>
          </w:p>
        </w:tc>
        <w:tc>
          <w:tcPr>
            <w:tcW w:w="1854" w:type="dxa"/>
            <w:vAlign w:val="center"/>
          </w:tcPr>
          <w:p>
            <w:pPr>
              <w:pStyle w:val="21"/>
              <w:wordWrap w:val="0"/>
              <w:overflowPunct w:val="0"/>
              <w:spacing w:line="36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内容</w:t>
            </w:r>
          </w:p>
        </w:tc>
        <w:tc>
          <w:tcPr>
            <w:tcW w:w="6900" w:type="dxa"/>
            <w:vAlign w:val="center"/>
          </w:tcPr>
          <w:p>
            <w:pPr>
              <w:pStyle w:val="21"/>
              <w:wordWrap w:val="0"/>
              <w:overflowPunct w:val="0"/>
              <w:spacing w:line="36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项目名称</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滁州市科技馆暑期前沿科技公益科普课（青少年人工智能）项目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供货期/服务期</w:t>
            </w:r>
          </w:p>
        </w:tc>
        <w:tc>
          <w:tcPr>
            <w:tcW w:w="6900" w:type="dxa"/>
            <w:vAlign w:val="center"/>
          </w:tcPr>
          <w:p>
            <w:pPr>
              <w:wordWrap w:val="0"/>
              <w:overflowPunct w:val="0"/>
              <w:spacing w:line="360" w:lineRule="exact"/>
              <w:rPr>
                <w:rFonts w:hint="eastAsia" w:ascii="宋体" w:hAnsi="宋体" w:eastAsia="宋体" w:cs="宋体"/>
                <w:color w:val="auto"/>
                <w:sz w:val="20"/>
                <w:szCs w:val="20"/>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课时全部结束</w:t>
            </w:r>
            <w:r>
              <w:rPr>
                <w:rFonts w:hint="eastAsia" w:ascii="宋体" w:hAnsi="宋体" w:cs="宋体"/>
                <w:color w:val="auto"/>
                <w:sz w:val="21"/>
                <w:szCs w:val="21"/>
                <w:highlight w:val="none"/>
                <w:lang w:eastAsia="zh-CN"/>
              </w:rPr>
              <w:t>，</w:t>
            </w:r>
            <w:r>
              <w:rPr>
                <w:rFonts w:hint="eastAsia" w:ascii="宋体" w:hAnsi="宋体" w:eastAsia="宋体" w:cs="宋体"/>
                <w:sz w:val="20"/>
                <w:szCs w:val="20"/>
                <w:highlight w:val="none"/>
                <w:lang w:val="en-US" w:eastAsia="zh-CN"/>
              </w:rPr>
              <w:t>具体时间</w:t>
            </w:r>
            <w:r>
              <w:rPr>
                <w:rFonts w:hint="eastAsia" w:ascii="宋体" w:hAnsi="宋体" w:eastAsia="宋体" w:cs="宋体"/>
                <w:sz w:val="20"/>
                <w:szCs w:val="20"/>
                <w:highlight w:val="none"/>
              </w:rPr>
              <w:t>投标人需按</w:t>
            </w:r>
            <w:r>
              <w:rPr>
                <w:rFonts w:hint="eastAsia" w:ascii="宋体" w:hAnsi="宋体" w:eastAsia="宋体" w:cs="宋体"/>
                <w:sz w:val="20"/>
                <w:szCs w:val="20"/>
                <w:highlight w:val="none"/>
                <w:lang w:eastAsia="zh-CN"/>
              </w:rPr>
              <w:t>采购人</w:t>
            </w:r>
            <w:r>
              <w:rPr>
                <w:rFonts w:hint="eastAsia" w:ascii="宋体" w:hAnsi="宋体" w:eastAsia="宋体" w:cs="宋体"/>
                <w:sz w:val="20"/>
                <w:szCs w:val="20"/>
                <w:highlight w:val="none"/>
              </w:rPr>
              <w:t>要求的时间节点完成相关工作</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供货（服务）地点</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eastAsia="zh-CN"/>
              </w:rPr>
              <w:t>采购人</w:t>
            </w:r>
            <w:r>
              <w:rPr>
                <w:rFonts w:hint="eastAsia" w:ascii="宋体" w:hAnsi="宋体" w:eastAsia="宋体" w:cs="宋体"/>
                <w:color w:val="auto"/>
                <w:sz w:val="20"/>
                <w:szCs w:val="20"/>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1.2</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采购人联系人及电话</w:t>
            </w:r>
          </w:p>
        </w:tc>
        <w:tc>
          <w:tcPr>
            <w:tcW w:w="6900" w:type="dxa"/>
            <w:vAlign w:val="center"/>
          </w:tcPr>
          <w:p>
            <w:pPr>
              <w:spacing w:line="360" w:lineRule="exact"/>
              <w:rPr>
                <w:rFonts w:hint="eastAsia" w:ascii="宋体" w:hAnsi="宋体" w:eastAsia="宋体" w:cs="宋体"/>
                <w:sz w:val="20"/>
                <w:szCs w:val="22"/>
                <w:lang w:eastAsia="zh-CN"/>
              </w:rPr>
            </w:pPr>
            <w:r>
              <w:rPr>
                <w:rFonts w:hint="eastAsia" w:ascii="宋体" w:hAnsi="宋体" w:eastAsia="宋体" w:cs="宋体"/>
                <w:sz w:val="20"/>
                <w:szCs w:val="22"/>
              </w:rPr>
              <w:t>招标人：</w:t>
            </w:r>
            <w:r>
              <w:rPr>
                <w:rFonts w:hint="eastAsia" w:ascii="宋体" w:hAnsi="宋体" w:eastAsia="宋体" w:cs="宋体"/>
                <w:sz w:val="20"/>
                <w:szCs w:val="22"/>
                <w:lang w:eastAsia="zh-CN"/>
              </w:rPr>
              <w:t>滁州市科学技术馆</w:t>
            </w:r>
          </w:p>
          <w:p>
            <w:pPr>
              <w:spacing w:line="360" w:lineRule="exact"/>
              <w:rPr>
                <w:rFonts w:hint="eastAsia" w:ascii="宋体" w:hAnsi="宋体" w:eastAsia="宋体" w:cs="宋体"/>
                <w:color w:val="auto"/>
                <w:sz w:val="20"/>
                <w:szCs w:val="20"/>
              </w:rPr>
            </w:pPr>
            <w:r>
              <w:rPr>
                <w:rFonts w:hint="eastAsia" w:ascii="宋体" w:hAnsi="宋体" w:eastAsia="宋体" w:cs="宋体"/>
                <w:sz w:val="20"/>
                <w:szCs w:val="22"/>
              </w:rPr>
              <w:t>联系人</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 xml:space="preserve">张工        </w:t>
            </w:r>
            <w:r>
              <w:rPr>
                <w:rFonts w:hint="eastAsia" w:ascii="宋体" w:hAnsi="宋体" w:eastAsia="宋体" w:cs="宋体"/>
                <w:color w:val="auto"/>
                <w:sz w:val="20"/>
                <w:szCs w:val="22"/>
              </w:rPr>
              <w:t>联系电话：</w:t>
            </w:r>
            <w:r>
              <w:rPr>
                <w:rFonts w:hint="eastAsia" w:ascii="宋体" w:hAnsi="宋体" w:eastAsia="宋体" w:cs="宋体"/>
                <w:color w:val="auto"/>
                <w:sz w:val="20"/>
                <w:szCs w:val="22"/>
                <w:lang w:val="en-US" w:eastAsia="zh-CN"/>
              </w:rPr>
              <w:t>0550-3062150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1.2</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采购代理机构联系人及电话</w:t>
            </w:r>
          </w:p>
        </w:tc>
        <w:tc>
          <w:tcPr>
            <w:tcW w:w="6900" w:type="dxa"/>
            <w:vAlign w:val="center"/>
          </w:tcPr>
          <w:p>
            <w:pPr>
              <w:spacing w:line="360" w:lineRule="exact"/>
              <w:rPr>
                <w:rFonts w:hint="eastAsia" w:ascii="宋体" w:hAnsi="宋体" w:eastAsia="宋体" w:cs="宋体"/>
                <w:color w:val="auto"/>
                <w:sz w:val="20"/>
                <w:szCs w:val="22"/>
                <w:lang w:eastAsia="zh-CN"/>
              </w:rPr>
            </w:pPr>
            <w:r>
              <w:rPr>
                <w:rFonts w:hint="eastAsia" w:ascii="宋体" w:hAnsi="宋体" w:eastAsia="宋体" w:cs="宋体"/>
                <w:color w:val="auto"/>
                <w:sz w:val="20"/>
                <w:szCs w:val="22"/>
              </w:rPr>
              <w:t>招标代理机构：</w:t>
            </w:r>
            <w:r>
              <w:rPr>
                <w:rFonts w:hint="eastAsia" w:ascii="宋体" w:hAnsi="宋体" w:eastAsia="宋体" w:cs="宋体"/>
                <w:color w:val="auto"/>
                <w:sz w:val="20"/>
                <w:szCs w:val="20"/>
                <w:lang w:eastAsia="zh-CN"/>
              </w:rPr>
              <w:t>安徽凯泰工程项目管理有限公司</w:t>
            </w:r>
          </w:p>
          <w:p>
            <w:pPr>
              <w:spacing w:line="360" w:lineRule="exact"/>
              <w:rPr>
                <w:rFonts w:hint="eastAsia" w:ascii="宋体" w:hAnsi="宋体" w:eastAsia="宋体" w:cs="宋体"/>
                <w:color w:val="auto"/>
                <w:sz w:val="20"/>
                <w:szCs w:val="20"/>
                <w:lang w:eastAsia="zh-CN"/>
              </w:rPr>
            </w:pPr>
            <w:r>
              <w:rPr>
                <w:rFonts w:hint="eastAsia" w:ascii="宋体" w:hAnsi="宋体" w:eastAsia="宋体" w:cs="宋体"/>
                <w:color w:val="auto"/>
                <w:sz w:val="20"/>
                <w:szCs w:val="22"/>
              </w:rPr>
              <w:t>联系人：</w:t>
            </w:r>
            <w:r>
              <w:rPr>
                <w:rFonts w:hint="eastAsia" w:ascii="宋体" w:hAnsi="宋体" w:eastAsia="宋体" w:cs="宋体"/>
                <w:color w:val="auto"/>
                <w:sz w:val="20"/>
                <w:szCs w:val="22"/>
                <w:lang w:eastAsia="zh-CN"/>
              </w:rPr>
              <w:t>徐艳</w:t>
            </w:r>
            <w:r>
              <w:rPr>
                <w:rFonts w:hint="eastAsia" w:ascii="宋体" w:hAnsi="宋体" w:eastAsia="宋体" w:cs="宋体"/>
                <w:color w:val="auto"/>
                <w:sz w:val="20"/>
                <w:szCs w:val="22"/>
                <w:lang w:val="en-US" w:eastAsia="zh-CN"/>
              </w:rPr>
              <w:t xml:space="preserve">     </w:t>
            </w:r>
            <w:r>
              <w:rPr>
                <w:rFonts w:hint="eastAsia" w:ascii="宋体" w:hAnsi="宋体" w:eastAsia="宋体" w:cs="宋体"/>
                <w:color w:val="auto"/>
                <w:sz w:val="20"/>
                <w:szCs w:val="22"/>
              </w:rPr>
              <w:t>联系电话：</w:t>
            </w:r>
            <w:r>
              <w:rPr>
                <w:rFonts w:hint="eastAsia" w:ascii="宋体" w:hAnsi="宋体" w:eastAsia="宋体" w:cs="宋体"/>
                <w:color w:val="333333"/>
                <w:sz w:val="20"/>
                <w:szCs w:val="20"/>
                <w:lang w:eastAsia="zh-CN"/>
              </w:rPr>
              <w:t>18155093151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1.3</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资金来源       </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1.4</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采购预算</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4.5</w:t>
            </w:r>
            <w:r>
              <w:rPr>
                <w:rFonts w:hint="eastAsia" w:ascii="宋体" w:hAnsi="宋体" w:eastAsia="宋体" w:cs="宋体"/>
                <w:color w:val="auto"/>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1.5</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最高限价</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4.5</w:t>
            </w:r>
            <w:r>
              <w:rPr>
                <w:rFonts w:hint="eastAsia" w:ascii="宋体" w:hAnsi="宋体" w:eastAsia="宋体" w:cs="宋体"/>
                <w:color w:val="auto"/>
                <w:sz w:val="20"/>
                <w:szCs w:val="20"/>
              </w:rPr>
              <w:t>万元人民币，投标报价高于最高限价的，其投标文件按无效投标处理。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采购内容</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详见《</w:t>
            </w:r>
            <w:r>
              <w:rPr>
                <w:rFonts w:hint="eastAsia" w:ascii="宋体" w:hAnsi="宋体" w:eastAsia="宋体" w:cs="宋体"/>
                <w:color w:val="auto"/>
                <w:sz w:val="20"/>
                <w:szCs w:val="20"/>
                <w:lang w:eastAsia="zh-CN"/>
              </w:rPr>
              <w:t>采购内容及服务要求</w:t>
            </w:r>
            <w:r>
              <w:rPr>
                <w:rFonts w:hint="eastAsia" w:ascii="宋体" w:hAnsi="宋体" w:eastAsia="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标包划分</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本项目划分为</w:t>
            </w:r>
            <w:r>
              <w:rPr>
                <w:rFonts w:hint="eastAsia" w:ascii="宋体" w:hAnsi="宋体" w:eastAsia="宋体" w:cs="宋体"/>
                <w:color w:val="auto"/>
                <w:sz w:val="20"/>
                <w:szCs w:val="20"/>
                <w:u w:val="single"/>
              </w:rPr>
              <w:t>1</w:t>
            </w:r>
            <w:r>
              <w:rPr>
                <w:rFonts w:hint="eastAsia" w:ascii="宋体" w:hAnsi="宋体" w:eastAsia="宋体" w:cs="宋体"/>
                <w:color w:val="auto"/>
                <w:sz w:val="20"/>
                <w:szCs w:val="20"/>
              </w:rPr>
              <w:t>个标包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4.1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招标方式</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7.2</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投标人资格条件及其他要求</w:t>
            </w:r>
          </w:p>
        </w:tc>
        <w:tc>
          <w:tcPr>
            <w:tcW w:w="6900" w:type="dxa"/>
            <w:vAlign w:val="center"/>
          </w:tcPr>
          <w:p>
            <w:pPr>
              <w:wordWrap w:val="0"/>
              <w:overflowPunct w:val="0"/>
              <w:spacing w:line="360" w:lineRule="exact"/>
              <w:rPr>
                <w:rFonts w:hint="eastAsia" w:ascii="宋体" w:hAnsi="宋体" w:eastAsia="宋体" w:cs="宋体"/>
                <w:color w:val="auto"/>
                <w:sz w:val="20"/>
                <w:szCs w:val="22"/>
              </w:rPr>
            </w:pPr>
            <w:r>
              <w:rPr>
                <w:rFonts w:hint="eastAsia" w:ascii="宋体" w:hAnsi="宋体" w:eastAsia="宋体" w:cs="宋体"/>
                <w:color w:val="auto"/>
                <w:sz w:val="20"/>
                <w:szCs w:val="22"/>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9.1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踏勘现场</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不组织，投标人自行踏勘现场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10.1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投标预备会</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10.2</w:t>
            </w:r>
          </w:p>
        </w:tc>
        <w:tc>
          <w:tcPr>
            <w:tcW w:w="1854" w:type="dxa"/>
            <w:vAlign w:val="center"/>
          </w:tcPr>
          <w:p>
            <w:pPr>
              <w:pStyle w:val="21"/>
              <w:wordWrap w:val="0"/>
              <w:overflowPunct w:val="0"/>
              <w:spacing w:line="360" w:lineRule="exact"/>
              <w:ind w:right="-42" w:rightChars="-20"/>
              <w:jc w:val="left"/>
              <w:rPr>
                <w:rFonts w:hint="eastAsia" w:ascii="宋体" w:hAnsi="宋体" w:eastAsia="宋体" w:cs="宋体"/>
                <w:color w:val="auto"/>
                <w:sz w:val="20"/>
                <w:szCs w:val="20"/>
              </w:rPr>
            </w:pPr>
            <w:r>
              <w:rPr>
                <w:rFonts w:hint="eastAsia" w:ascii="宋体" w:hAnsi="宋体" w:eastAsia="宋体" w:cs="宋体"/>
                <w:color w:val="auto"/>
                <w:sz w:val="20"/>
                <w:szCs w:val="20"/>
              </w:rPr>
              <w:t>投标人提出</w:t>
            </w:r>
            <w:r>
              <w:rPr>
                <w:rFonts w:hint="eastAsia" w:ascii="宋体" w:hAnsi="宋体" w:eastAsia="宋体" w:cs="宋体"/>
                <w:color w:val="auto"/>
                <w:sz w:val="20"/>
                <w:szCs w:val="20"/>
                <w:u w:val="single"/>
              </w:rPr>
              <w:t>疑问</w:t>
            </w:r>
            <w:r>
              <w:rPr>
                <w:rFonts w:hint="eastAsia" w:ascii="宋体" w:hAnsi="宋体" w:eastAsia="宋体" w:cs="宋体"/>
                <w:color w:val="auto"/>
                <w:sz w:val="20"/>
                <w:szCs w:val="20"/>
              </w:rPr>
              <w:t>的截止时间及方式</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000000"/>
                <w:kern w:val="0"/>
                <w:sz w:val="20"/>
                <w:szCs w:val="20"/>
              </w:rPr>
              <w:t>如投标单位对</w:t>
            </w:r>
            <w:r>
              <w:rPr>
                <w:rFonts w:hint="eastAsia" w:ascii="宋体" w:hAnsi="宋体" w:eastAsia="宋体" w:cs="宋体"/>
                <w:color w:val="000000"/>
                <w:kern w:val="0"/>
                <w:sz w:val="20"/>
                <w:szCs w:val="20"/>
                <w:lang w:eastAsia="zh-CN"/>
              </w:rPr>
              <w:t>招标</w:t>
            </w:r>
            <w:r>
              <w:rPr>
                <w:rFonts w:hint="eastAsia" w:ascii="宋体" w:hAnsi="宋体" w:eastAsia="宋体" w:cs="宋体"/>
                <w:color w:val="000000"/>
                <w:kern w:val="0"/>
                <w:sz w:val="20"/>
                <w:szCs w:val="20"/>
              </w:rPr>
              <w:t>文</w:t>
            </w:r>
            <w:r>
              <w:rPr>
                <w:rFonts w:hint="eastAsia" w:ascii="宋体" w:hAnsi="宋体" w:eastAsia="宋体" w:cs="宋体"/>
                <w:color w:val="000000"/>
                <w:kern w:val="0"/>
                <w:sz w:val="20"/>
                <w:szCs w:val="20"/>
                <w:highlight w:val="none"/>
              </w:rPr>
              <w:t>件有疑问，请于</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u w:val="single"/>
                <w:lang w:eastAsia="zh-CN"/>
              </w:rPr>
              <w:t>2023</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rPr>
              <w:t>年</w:t>
            </w:r>
            <w:r>
              <w:rPr>
                <w:rFonts w:hint="eastAsia" w:ascii="宋体" w:hAnsi="宋体" w:eastAsia="宋体" w:cs="宋体"/>
                <w:b/>
                <w:bCs/>
                <w:color w:val="000000"/>
                <w:kern w:val="0"/>
                <w:sz w:val="20"/>
                <w:szCs w:val="20"/>
                <w:highlight w:val="none"/>
                <w:u w:val="single"/>
                <w:lang w:val="en-US" w:eastAsia="zh-CN"/>
              </w:rPr>
              <w:t xml:space="preserve"> 07</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rPr>
              <w:t>月</w:t>
            </w:r>
            <w:r>
              <w:rPr>
                <w:rFonts w:hint="eastAsia" w:ascii="宋体" w:hAnsi="宋体" w:eastAsia="宋体" w:cs="宋体"/>
                <w:b/>
                <w:bCs/>
                <w:color w:val="000000"/>
                <w:kern w:val="0"/>
                <w:sz w:val="20"/>
                <w:szCs w:val="20"/>
                <w:highlight w:val="none"/>
                <w:u w:val="single" w:color="auto"/>
                <w:lang w:val="en-US" w:eastAsia="zh-CN"/>
              </w:rPr>
              <w:t>0</w:t>
            </w:r>
            <w:r>
              <w:rPr>
                <w:rFonts w:hint="eastAsia" w:hAnsi="宋体" w:cs="宋体"/>
                <w:b/>
                <w:bCs/>
                <w:color w:val="000000"/>
                <w:kern w:val="0"/>
                <w:sz w:val="20"/>
                <w:szCs w:val="20"/>
                <w:highlight w:val="none"/>
                <w:u w:val="single" w:color="auto"/>
                <w:lang w:val="en-US" w:eastAsia="zh-CN"/>
              </w:rPr>
              <w:t>3</w:t>
            </w:r>
            <w:r>
              <w:rPr>
                <w:rFonts w:hint="eastAsia" w:ascii="宋体" w:hAnsi="宋体" w:eastAsia="宋体" w:cs="宋体"/>
                <w:b/>
                <w:bCs/>
                <w:color w:val="000000"/>
                <w:kern w:val="0"/>
                <w:sz w:val="20"/>
                <w:szCs w:val="20"/>
                <w:highlight w:val="none"/>
              </w:rPr>
              <w:t>日</w:t>
            </w:r>
            <w:r>
              <w:rPr>
                <w:rFonts w:hint="eastAsia" w:ascii="宋体" w:hAnsi="宋体" w:eastAsia="宋体" w:cs="宋体"/>
                <w:b/>
                <w:bCs/>
                <w:color w:val="000000"/>
                <w:kern w:val="0"/>
                <w:sz w:val="20"/>
                <w:szCs w:val="20"/>
                <w:highlight w:val="none"/>
                <w:u w:val="single"/>
                <w:lang w:val="en-US" w:eastAsia="zh-CN"/>
              </w:rPr>
              <w:t>17</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rPr>
              <w:t>时</w:t>
            </w:r>
            <w:r>
              <w:rPr>
                <w:rFonts w:hint="eastAsia" w:ascii="宋体" w:hAnsi="宋体" w:eastAsia="宋体" w:cs="宋体"/>
                <w:color w:val="000000"/>
                <w:sz w:val="20"/>
                <w:szCs w:val="20"/>
                <w:highlight w:val="none"/>
              </w:rPr>
              <w:t>前将疑问内容以电子邮件形式发送至</w:t>
            </w:r>
            <w:r>
              <w:rPr>
                <w:rFonts w:hint="eastAsia" w:ascii="宋体" w:hAnsi="宋体" w:eastAsia="宋体" w:cs="宋体"/>
                <w:color w:val="000000"/>
                <w:sz w:val="20"/>
                <w:szCs w:val="20"/>
                <w:highlight w:val="none"/>
                <w:lang w:val="en-US" w:eastAsia="zh-CN"/>
              </w:rPr>
              <w:t>1171565220@qq</w:t>
            </w:r>
            <w:r>
              <w:rPr>
                <w:rFonts w:hint="eastAsia" w:ascii="宋体" w:hAnsi="宋体" w:eastAsia="宋体" w:cs="宋体"/>
                <w:color w:val="000000"/>
                <w:sz w:val="20"/>
                <w:szCs w:val="20"/>
                <w:highlight w:val="none"/>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10.3</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采购人澄清的时间及方式</w:t>
            </w:r>
          </w:p>
        </w:tc>
        <w:tc>
          <w:tcPr>
            <w:tcW w:w="6900" w:type="dxa"/>
            <w:vAlign w:val="center"/>
          </w:tcPr>
          <w:p>
            <w:pPr>
              <w:wordWrap w:val="0"/>
              <w:overflowPunct w:val="0"/>
              <w:spacing w:line="360" w:lineRule="exact"/>
              <w:rPr>
                <w:rFonts w:hint="eastAsia" w:ascii="宋体" w:hAnsi="宋体" w:eastAsia="宋体" w:cs="宋体"/>
                <w:color w:val="auto"/>
                <w:sz w:val="20"/>
                <w:szCs w:val="20"/>
                <w:highlight w:val="none"/>
              </w:rPr>
            </w:pPr>
            <w:r>
              <w:rPr>
                <w:rFonts w:hint="eastAsia" w:ascii="宋体" w:hAnsi="宋体" w:eastAsia="宋体" w:cs="宋体"/>
                <w:b/>
                <w:bCs/>
                <w:color w:val="000000"/>
                <w:kern w:val="0"/>
                <w:sz w:val="20"/>
                <w:szCs w:val="20"/>
                <w:highlight w:val="none"/>
                <w:u w:val="single"/>
                <w:lang w:eastAsia="zh-CN"/>
              </w:rPr>
              <w:t>2023</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rPr>
              <w:t>年</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u w:val="single"/>
                <w:lang w:val="en-US" w:eastAsia="zh-CN"/>
              </w:rPr>
              <w:t>07</w:t>
            </w:r>
            <w:r>
              <w:rPr>
                <w:rFonts w:hint="eastAsia" w:ascii="宋体" w:hAnsi="宋体" w:eastAsia="宋体" w:cs="宋体"/>
                <w:b/>
                <w:bCs/>
                <w:color w:val="000000"/>
                <w:kern w:val="0"/>
                <w:sz w:val="20"/>
                <w:szCs w:val="20"/>
                <w:highlight w:val="none"/>
              </w:rPr>
              <w:t>月</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u w:val="single"/>
                <w:lang w:val="en-US" w:eastAsia="zh-CN"/>
              </w:rPr>
              <w:t>0</w:t>
            </w:r>
            <w:r>
              <w:rPr>
                <w:rFonts w:hint="eastAsia" w:ascii="宋体" w:hAnsi="宋体" w:cs="宋体"/>
                <w:b/>
                <w:bCs/>
                <w:color w:val="000000"/>
                <w:kern w:val="0"/>
                <w:sz w:val="20"/>
                <w:szCs w:val="20"/>
                <w:highlight w:val="none"/>
                <w:u w:val="single"/>
                <w:lang w:val="en-US" w:eastAsia="zh-CN"/>
              </w:rPr>
              <w:t>4</w:t>
            </w:r>
            <w:r>
              <w:rPr>
                <w:rFonts w:hint="eastAsia" w:ascii="宋体" w:hAnsi="宋体" w:eastAsia="宋体" w:cs="宋体"/>
                <w:b/>
                <w:bCs/>
                <w:color w:val="000000"/>
                <w:kern w:val="0"/>
                <w:sz w:val="20"/>
                <w:szCs w:val="20"/>
                <w:highlight w:val="none"/>
              </w:rPr>
              <w:t>日</w:t>
            </w:r>
            <w:r>
              <w:rPr>
                <w:rFonts w:hint="eastAsia" w:ascii="宋体" w:hAnsi="宋体" w:eastAsia="宋体" w:cs="宋体"/>
                <w:b/>
                <w:bCs/>
                <w:color w:val="000000"/>
                <w:kern w:val="0"/>
                <w:sz w:val="20"/>
                <w:szCs w:val="20"/>
                <w:highlight w:val="none"/>
                <w:u w:val="single"/>
              </w:rPr>
              <w:t xml:space="preserve"> </w:t>
            </w:r>
            <w:r>
              <w:rPr>
                <w:rFonts w:hint="eastAsia" w:ascii="宋体" w:hAnsi="宋体" w:cs="宋体"/>
                <w:b/>
                <w:bCs/>
                <w:color w:val="000000"/>
                <w:kern w:val="0"/>
                <w:sz w:val="20"/>
                <w:szCs w:val="20"/>
                <w:highlight w:val="none"/>
                <w:u w:val="single"/>
                <w:lang w:val="en-US" w:eastAsia="zh-CN"/>
              </w:rPr>
              <w:t>11</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rPr>
              <w:t>时</w:t>
            </w:r>
            <w:r>
              <w:rPr>
                <w:rFonts w:hint="eastAsia" w:ascii="宋体" w:hAnsi="宋体" w:cs="宋体"/>
                <w:color w:val="000000"/>
                <w:sz w:val="20"/>
                <w:szCs w:val="20"/>
                <w:highlight w:val="none"/>
                <w:lang w:eastAsia="zh-CN"/>
              </w:rPr>
              <w:t>后</w:t>
            </w:r>
            <w:r>
              <w:rPr>
                <w:rFonts w:hint="eastAsia" w:ascii="宋体" w:hAnsi="宋体" w:eastAsia="宋体" w:cs="宋体"/>
                <w:color w:val="000000"/>
                <w:sz w:val="20"/>
                <w:szCs w:val="20"/>
                <w:highlight w:val="none"/>
              </w:rPr>
              <w:t>，</w:t>
            </w:r>
            <w:r>
              <w:rPr>
                <w:rFonts w:hint="eastAsia" w:ascii="宋体" w:hAnsi="宋体" w:eastAsia="宋体" w:cs="宋体"/>
                <w:color w:val="000000"/>
                <w:kern w:val="0"/>
                <w:sz w:val="20"/>
                <w:szCs w:val="20"/>
                <w:highlight w:val="none"/>
              </w:rPr>
              <w:t>在</w:t>
            </w:r>
            <w:r>
              <w:rPr>
                <w:rFonts w:hint="eastAsia" w:ascii="宋体" w:hAnsi="宋体" w:eastAsia="宋体" w:cs="宋体"/>
                <w:color w:val="000000"/>
                <w:kern w:val="0"/>
                <w:sz w:val="20"/>
                <w:szCs w:val="20"/>
                <w:highlight w:val="none"/>
                <w:lang w:eastAsia="zh-CN"/>
              </w:rPr>
              <w:t>滁州市科学技术馆</w:t>
            </w:r>
            <w:r>
              <w:rPr>
                <w:rFonts w:hint="eastAsia" w:ascii="宋体" w:hAnsi="宋体" w:eastAsia="宋体" w:cs="宋体"/>
                <w:color w:val="auto"/>
                <w:sz w:val="20"/>
                <w:szCs w:val="20"/>
                <w:highlight w:val="none"/>
                <w:lang w:val="en-US" w:eastAsia="zh-CN"/>
              </w:rPr>
              <w:t>网站</w:t>
            </w:r>
            <w:r>
              <w:rPr>
                <w:rFonts w:hint="eastAsia" w:ascii="宋体" w:hAnsi="宋体" w:eastAsia="宋体" w:cs="宋体"/>
                <w:color w:val="000000"/>
                <w:kern w:val="0"/>
                <w:sz w:val="20"/>
                <w:szCs w:val="20"/>
                <w:highlight w:val="none"/>
              </w:rPr>
              <w:t>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联合体投标</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12.1</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highlight w:val="none"/>
              </w:rPr>
              <w:t>招标代理费</w:t>
            </w:r>
            <w:r>
              <w:rPr>
                <w:rFonts w:hint="eastAsia" w:ascii="宋体" w:hAnsi="宋体" w:eastAsia="宋体" w:cs="宋体"/>
                <w:color w:val="auto"/>
                <w:sz w:val="20"/>
                <w:szCs w:val="20"/>
                <w:highlight w:val="none"/>
                <w:lang w:eastAsia="zh-CN"/>
              </w:rPr>
              <w:t>及专家评审劳务费</w:t>
            </w:r>
          </w:p>
        </w:tc>
        <w:tc>
          <w:tcPr>
            <w:tcW w:w="6900" w:type="dxa"/>
            <w:vAlign w:val="center"/>
          </w:tcPr>
          <w:p>
            <w:pPr>
              <w:spacing w:line="360" w:lineRule="exact"/>
              <w:jc w:val="left"/>
              <w:rPr>
                <w:rFonts w:hint="eastAsia" w:ascii="宋体" w:hAnsi="宋体" w:eastAsia="宋体" w:cs="宋体"/>
                <w:color w:val="auto"/>
                <w:sz w:val="20"/>
                <w:szCs w:val="20"/>
                <w:highlight w:val="yellow"/>
              </w:rPr>
            </w:pPr>
            <w:r>
              <w:rPr>
                <w:rFonts w:hint="eastAsia" w:ascii="宋体" w:hAnsi="宋体" w:eastAsia="宋体" w:cs="宋体"/>
                <w:color w:val="auto"/>
                <w:sz w:val="20"/>
                <w:szCs w:val="20"/>
                <w:highlight w:val="none"/>
              </w:rPr>
              <w:t>代理服务费金额：</w:t>
            </w:r>
            <w:r>
              <w:rPr>
                <w:rFonts w:hint="eastAsia" w:ascii="宋体" w:hAnsi="宋体" w:eastAsia="宋体" w:cs="宋体"/>
                <w:color w:val="auto"/>
                <w:sz w:val="20"/>
                <w:szCs w:val="20"/>
                <w:highlight w:val="none"/>
                <w:lang w:val="en-US" w:eastAsia="zh-CN"/>
              </w:rPr>
              <w:t>2000</w:t>
            </w:r>
            <w:r>
              <w:rPr>
                <w:rFonts w:hint="eastAsia" w:ascii="宋体" w:hAnsi="宋体" w:eastAsia="宋体" w:cs="宋体"/>
                <w:color w:val="auto"/>
                <w:sz w:val="20"/>
                <w:szCs w:val="20"/>
                <w:highlight w:val="none"/>
              </w:rPr>
              <w:t>元；</w:t>
            </w:r>
          </w:p>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highlight w:val="none"/>
              </w:rPr>
              <w:t>代理服务费支付主体：中标单位。</w:t>
            </w:r>
            <w:r>
              <w:rPr>
                <w:rFonts w:hint="eastAsia" w:ascii="宋体" w:hAnsi="宋体" w:eastAsia="宋体" w:cs="宋体"/>
                <w:bCs/>
                <w:color w:val="auto"/>
                <w:kern w:val="0"/>
                <w:sz w:val="20"/>
                <w:szCs w:val="22"/>
              </w:rPr>
              <w:t>专</w:t>
            </w:r>
            <w:r>
              <w:rPr>
                <w:rFonts w:hint="eastAsia" w:ascii="宋体" w:hAnsi="宋体" w:eastAsia="宋体" w:cs="宋体"/>
                <w:bCs/>
                <w:color w:val="auto"/>
                <w:kern w:val="0"/>
                <w:sz w:val="20"/>
                <w:szCs w:val="22"/>
                <w:highlight w:val="none"/>
              </w:rPr>
              <w:t>家评审费按实计算</w:t>
            </w:r>
            <w:r>
              <w:rPr>
                <w:rFonts w:hint="eastAsia" w:ascii="宋体" w:hAnsi="宋体" w:eastAsia="宋体" w:cs="宋体"/>
                <w:bCs/>
                <w:color w:val="auto"/>
                <w:kern w:val="0"/>
                <w:sz w:val="20"/>
                <w:szCs w:val="22"/>
                <w:highlight w:val="none"/>
                <w:lang w:eastAsia="zh-CN"/>
              </w:rPr>
              <w:t>（</w:t>
            </w:r>
            <w:r>
              <w:rPr>
                <w:rFonts w:hint="eastAsia" w:ascii="宋体" w:hAnsi="宋体" w:eastAsia="宋体" w:cs="宋体"/>
                <w:bCs/>
                <w:color w:val="auto"/>
                <w:kern w:val="0"/>
                <w:sz w:val="20"/>
                <w:szCs w:val="22"/>
                <w:highlight w:val="none"/>
                <w:lang w:val="en-US" w:eastAsia="zh-CN"/>
              </w:rPr>
              <w:t>无票），</w:t>
            </w:r>
            <w:r>
              <w:rPr>
                <w:rFonts w:hint="eastAsia" w:ascii="宋体" w:hAnsi="宋体" w:eastAsia="宋体" w:cs="宋体"/>
                <w:color w:val="auto"/>
                <w:sz w:val="20"/>
                <w:szCs w:val="20"/>
                <w:highlight w:val="none"/>
              </w:rPr>
              <w:t>上述费用均应含在</w:t>
            </w:r>
            <w:r>
              <w:rPr>
                <w:rFonts w:hint="eastAsia" w:ascii="宋体" w:hAnsi="宋体" w:eastAsia="宋体" w:cs="宋体"/>
                <w:color w:val="auto"/>
                <w:sz w:val="20"/>
                <w:szCs w:val="20"/>
                <w:highlight w:val="none"/>
                <w:lang w:eastAsia="zh-CN"/>
              </w:rPr>
              <w:t>投标</w:t>
            </w:r>
            <w:r>
              <w:rPr>
                <w:rFonts w:hint="eastAsia" w:ascii="宋体" w:hAnsi="宋体" w:eastAsia="宋体" w:cs="宋体"/>
                <w:color w:val="auto"/>
                <w:sz w:val="20"/>
                <w:szCs w:val="20"/>
                <w:highlight w:val="none"/>
              </w:rPr>
              <w:t>报价中</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由中</w:t>
            </w:r>
            <w:r>
              <w:rPr>
                <w:rFonts w:hint="eastAsia" w:ascii="宋体" w:hAnsi="宋体" w:eastAsia="宋体" w:cs="宋体"/>
                <w:color w:val="auto"/>
                <w:sz w:val="20"/>
                <w:szCs w:val="20"/>
                <w:highlight w:val="none"/>
                <w:lang w:val="en-US" w:eastAsia="zh-CN"/>
              </w:rPr>
              <w:t>标</w:t>
            </w:r>
            <w:r>
              <w:rPr>
                <w:rFonts w:hint="eastAsia" w:ascii="宋体" w:hAnsi="宋体" w:eastAsia="宋体" w:cs="宋体"/>
                <w:color w:val="auto"/>
                <w:sz w:val="20"/>
                <w:szCs w:val="20"/>
                <w:highlight w:val="none"/>
              </w:rPr>
              <w:t>单位获取</w:t>
            </w:r>
            <w:r>
              <w:rPr>
                <w:rFonts w:hint="eastAsia" w:ascii="宋体" w:hAnsi="宋体" w:eastAsia="宋体" w:cs="宋体"/>
                <w:color w:val="auto"/>
                <w:sz w:val="20"/>
                <w:szCs w:val="20"/>
                <w:highlight w:val="none"/>
                <w:lang w:val="en-US" w:eastAsia="zh-CN"/>
              </w:rPr>
              <w:t>中标</w:t>
            </w:r>
            <w:r>
              <w:rPr>
                <w:rFonts w:hint="eastAsia" w:ascii="宋体" w:hAnsi="宋体" w:eastAsia="宋体" w:cs="宋体"/>
                <w:color w:val="auto"/>
                <w:sz w:val="20"/>
                <w:szCs w:val="20"/>
                <w:highlight w:val="none"/>
              </w:rPr>
              <w:t>通知书时支付给代理公司</w:t>
            </w:r>
            <w:r>
              <w:rPr>
                <w:rFonts w:hint="eastAsia" w:ascii="宋体" w:hAnsi="宋体" w:eastAsia="宋体" w:cs="宋体"/>
                <w:bCs/>
                <w:color w:val="auto"/>
                <w:kern w:val="0"/>
                <w:sz w:val="20"/>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16.3</w:t>
            </w:r>
          </w:p>
        </w:tc>
        <w:tc>
          <w:tcPr>
            <w:tcW w:w="1854" w:type="dxa"/>
            <w:vAlign w:val="center"/>
          </w:tcPr>
          <w:p>
            <w:pPr>
              <w:wordWrap w:val="0"/>
              <w:overflowPunct w:val="0"/>
              <w:spacing w:line="360" w:lineRule="exact"/>
              <w:ind w:right="-42" w:rightChars="-20"/>
              <w:jc w:val="left"/>
              <w:rPr>
                <w:rFonts w:hint="eastAsia" w:ascii="宋体" w:hAnsi="宋体" w:eastAsia="宋体" w:cs="宋体"/>
                <w:color w:val="auto"/>
                <w:sz w:val="20"/>
                <w:szCs w:val="20"/>
              </w:rPr>
            </w:pPr>
            <w:r>
              <w:rPr>
                <w:rFonts w:hint="eastAsia" w:ascii="宋体" w:hAnsi="宋体" w:eastAsia="宋体" w:cs="宋体"/>
                <w:color w:val="auto"/>
                <w:sz w:val="20"/>
                <w:szCs w:val="20"/>
              </w:rPr>
              <w:t>投标人要求澄清招标文件的截止时间及方式</w:t>
            </w:r>
          </w:p>
        </w:tc>
        <w:tc>
          <w:tcPr>
            <w:tcW w:w="6900" w:type="dxa"/>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同表10.2款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23.1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投标有效期</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投标有效期为</w:t>
            </w:r>
            <w:r>
              <w:rPr>
                <w:rFonts w:hint="eastAsia" w:ascii="宋体" w:hAnsi="宋体" w:eastAsia="宋体" w:cs="宋体"/>
                <w:color w:val="auto"/>
                <w:sz w:val="20"/>
                <w:szCs w:val="20"/>
                <w:u w:val="single"/>
              </w:rPr>
              <w:t xml:space="preserve"> 60 </w:t>
            </w:r>
            <w:r>
              <w:rPr>
                <w:rFonts w:hint="eastAsia" w:ascii="宋体" w:hAnsi="宋体" w:eastAsia="宋体" w:cs="宋体"/>
                <w:color w:val="auto"/>
                <w:sz w:val="20"/>
                <w:szCs w:val="20"/>
              </w:rPr>
              <w:t>日历天（从投标截止之日算起）。在此期限内，凡符合本招标文件要求的投标文件均保持有效。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24</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投标保证金</w:t>
            </w:r>
          </w:p>
        </w:tc>
        <w:tc>
          <w:tcPr>
            <w:tcW w:w="6900" w:type="dxa"/>
          </w:tcPr>
          <w:p>
            <w:pPr>
              <w:widowControl/>
              <w:shd w:val="clear" w:color="auto" w:fill="FFFFFF"/>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是否要求投标人提交投标保证金：☑不要求。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25.1</w:t>
            </w:r>
          </w:p>
        </w:tc>
        <w:tc>
          <w:tcPr>
            <w:tcW w:w="1854" w:type="dxa"/>
            <w:vAlign w:val="center"/>
          </w:tcPr>
          <w:p>
            <w:pPr>
              <w:pStyle w:val="21"/>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投标文件数量</w:t>
            </w:r>
          </w:p>
        </w:tc>
        <w:tc>
          <w:tcPr>
            <w:tcW w:w="6900" w:type="dxa"/>
            <w:vAlign w:val="center"/>
          </w:tcPr>
          <w:p>
            <w:pPr>
              <w:widowControl/>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b/>
                <w:color w:val="auto"/>
                <w:kern w:val="0"/>
                <w:sz w:val="20"/>
                <w:szCs w:val="20"/>
              </w:rPr>
              <w:t xml:space="preserve">递交的投标文件：正本 1 份，副本 </w:t>
            </w:r>
            <w:r>
              <w:rPr>
                <w:rFonts w:hint="eastAsia" w:ascii="宋体" w:hAnsi="宋体" w:eastAsia="宋体" w:cs="宋体"/>
                <w:b/>
                <w:color w:val="auto"/>
                <w:kern w:val="0"/>
                <w:sz w:val="20"/>
                <w:szCs w:val="20"/>
                <w:lang w:val="en-US" w:eastAsia="zh-CN"/>
              </w:rPr>
              <w:t>2</w:t>
            </w:r>
            <w:r>
              <w:rPr>
                <w:rFonts w:hint="eastAsia" w:ascii="宋体" w:hAnsi="宋体" w:eastAsia="宋体" w:cs="宋体"/>
                <w:b/>
                <w:color w:val="auto"/>
                <w:kern w:val="0"/>
                <w:sz w:val="20"/>
                <w:szCs w:val="20"/>
              </w:rPr>
              <w:t xml:space="preserve"> 份。以投标人在投标截止时间前递交的投标文件为准，逾期提交的，投标文件将被拒绝。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25.2</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签字或盖章要求</w:t>
            </w:r>
          </w:p>
        </w:tc>
        <w:tc>
          <w:tcPr>
            <w:tcW w:w="6900" w:type="dxa"/>
            <w:vAlign w:val="center"/>
          </w:tcPr>
          <w:p>
            <w:pPr>
              <w:widowControl/>
              <w:wordWrap w:val="0"/>
              <w:overflowPunct w:val="0"/>
              <w:spacing w:line="360" w:lineRule="exact"/>
              <w:ind w:firstLine="84" w:firstLineChars="42"/>
              <w:jc w:val="left"/>
              <w:rPr>
                <w:rFonts w:hint="eastAsia" w:ascii="宋体" w:hAnsi="宋体" w:eastAsia="宋体" w:cs="宋体"/>
                <w:color w:val="auto"/>
                <w:sz w:val="20"/>
                <w:szCs w:val="20"/>
              </w:rPr>
            </w:pPr>
            <w:r>
              <w:rPr>
                <w:rFonts w:hint="eastAsia" w:ascii="宋体" w:hAnsi="宋体" w:eastAsia="宋体" w:cs="宋体"/>
                <w:b/>
                <w:color w:val="auto"/>
                <w:kern w:val="0"/>
                <w:sz w:val="20"/>
                <w:szCs w:val="20"/>
              </w:rPr>
              <w:t>投标文件须按格式文件要求签字或盖章，否则经评委会一致认定且经过监管部门批准后，按照无效投标处理。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26.1</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投标文件提交截止时间</w:t>
            </w:r>
          </w:p>
        </w:tc>
        <w:tc>
          <w:tcPr>
            <w:tcW w:w="6900" w:type="dxa"/>
            <w:vAlign w:val="center"/>
          </w:tcPr>
          <w:p>
            <w:pPr>
              <w:wordWrap w:val="0"/>
              <w:overflowPunct w:val="0"/>
              <w:spacing w:line="36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rPr>
              <w:t>递交投标文件截止</w:t>
            </w:r>
            <w:r>
              <w:rPr>
                <w:rFonts w:hint="eastAsia" w:ascii="宋体" w:hAnsi="宋体" w:eastAsia="宋体" w:cs="宋体"/>
                <w:color w:val="auto"/>
                <w:sz w:val="20"/>
                <w:szCs w:val="20"/>
                <w:highlight w:val="none"/>
              </w:rPr>
              <w:t>时间：</w:t>
            </w:r>
            <w:r>
              <w:rPr>
                <w:rFonts w:hint="eastAsia" w:ascii="宋体" w:hAnsi="宋体" w:eastAsia="宋体" w:cs="宋体"/>
                <w:b/>
                <w:bCs/>
                <w:color w:val="auto"/>
                <w:sz w:val="20"/>
                <w:szCs w:val="20"/>
                <w:highlight w:val="none"/>
                <w:lang w:eastAsia="zh-CN"/>
              </w:rPr>
              <w:t>2023</w:t>
            </w:r>
            <w:r>
              <w:rPr>
                <w:rFonts w:hint="eastAsia" w:ascii="宋体" w:hAnsi="宋体" w:eastAsia="宋体" w:cs="宋体"/>
                <w:b/>
                <w:bCs/>
                <w:color w:val="auto"/>
                <w:sz w:val="20"/>
                <w:szCs w:val="20"/>
                <w:highlight w:val="none"/>
              </w:rPr>
              <w:t>年</w:t>
            </w:r>
            <w:r>
              <w:rPr>
                <w:rFonts w:hint="eastAsia" w:ascii="宋体" w:hAnsi="宋体" w:eastAsia="宋体" w:cs="宋体"/>
                <w:b/>
                <w:bCs/>
                <w:color w:val="auto"/>
                <w:sz w:val="20"/>
                <w:szCs w:val="20"/>
                <w:highlight w:val="none"/>
                <w:lang w:val="en-US" w:eastAsia="zh-CN"/>
              </w:rPr>
              <w:t>07</w:t>
            </w:r>
            <w:r>
              <w:rPr>
                <w:rFonts w:hint="eastAsia" w:ascii="宋体" w:hAnsi="宋体" w:eastAsia="宋体" w:cs="宋体"/>
                <w:b/>
                <w:bCs/>
                <w:color w:val="auto"/>
                <w:sz w:val="20"/>
                <w:szCs w:val="20"/>
                <w:highlight w:val="none"/>
              </w:rPr>
              <w:t>月</w:t>
            </w:r>
            <w:r>
              <w:rPr>
                <w:rFonts w:hint="eastAsia" w:ascii="宋体" w:hAnsi="宋体" w:cs="宋体"/>
                <w:b/>
                <w:bCs/>
                <w:color w:val="auto"/>
                <w:sz w:val="20"/>
                <w:szCs w:val="20"/>
                <w:highlight w:val="none"/>
                <w:lang w:val="en-US" w:eastAsia="zh-CN"/>
              </w:rPr>
              <w:t>05</w:t>
            </w:r>
            <w:r>
              <w:rPr>
                <w:rFonts w:hint="eastAsia" w:ascii="宋体" w:hAnsi="宋体" w:eastAsia="宋体" w:cs="宋体"/>
                <w:b/>
                <w:bCs/>
                <w:color w:val="auto"/>
                <w:sz w:val="20"/>
                <w:szCs w:val="20"/>
                <w:highlight w:val="none"/>
              </w:rPr>
              <w:t>日</w:t>
            </w:r>
            <w:r>
              <w:rPr>
                <w:rFonts w:hint="eastAsia" w:ascii="宋体" w:hAnsi="宋体" w:cs="宋体"/>
                <w:b/>
                <w:bCs/>
                <w:color w:val="auto"/>
                <w:sz w:val="20"/>
                <w:szCs w:val="20"/>
                <w:highlight w:val="none"/>
                <w:lang w:val="en-US" w:eastAsia="zh-CN"/>
              </w:rPr>
              <w:t>15</w:t>
            </w:r>
            <w:r>
              <w:rPr>
                <w:rFonts w:hint="eastAsia" w:ascii="宋体" w:hAnsi="宋体" w:eastAsia="宋体" w:cs="宋体"/>
                <w:b/>
                <w:bCs/>
                <w:color w:val="auto"/>
                <w:sz w:val="20"/>
                <w:szCs w:val="20"/>
                <w:highlight w:val="none"/>
              </w:rPr>
              <w:t>时</w:t>
            </w:r>
            <w:r>
              <w:rPr>
                <w:rFonts w:hint="eastAsia" w:ascii="宋体" w:hAnsi="宋体" w:cs="宋体"/>
                <w:b/>
                <w:bCs/>
                <w:color w:val="auto"/>
                <w:sz w:val="20"/>
                <w:szCs w:val="20"/>
                <w:highlight w:val="none"/>
                <w:lang w:val="en-US" w:eastAsia="zh-CN"/>
              </w:rPr>
              <w:t>0</w:t>
            </w:r>
            <w:r>
              <w:rPr>
                <w:rFonts w:hint="eastAsia" w:ascii="宋体" w:hAnsi="宋体" w:eastAsia="宋体" w:cs="宋体"/>
                <w:b/>
                <w:bCs/>
                <w:color w:val="auto"/>
                <w:sz w:val="20"/>
                <w:szCs w:val="20"/>
                <w:highlight w:val="none"/>
              </w:rPr>
              <w:t>0分（北京时间）</w:t>
            </w:r>
          </w:p>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b/>
                <w:color w:val="auto"/>
                <w:sz w:val="20"/>
                <w:szCs w:val="20"/>
                <w:highlight w:val="none"/>
              </w:rPr>
              <w:t>注：以投标人在投标截止时间前递交的投标文件为准，逾期提交的，投标文件将被拒绝。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27.3</w:t>
            </w:r>
          </w:p>
        </w:tc>
        <w:tc>
          <w:tcPr>
            <w:tcW w:w="1854" w:type="dxa"/>
            <w:vAlign w:val="center"/>
          </w:tcPr>
          <w:p>
            <w:pPr>
              <w:wordWrap w:val="0"/>
              <w:overflowPunct w:val="0"/>
              <w:spacing w:line="360" w:lineRule="exact"/>
              <w:ind w:right="-260" w:rightChars="-124"/>
              <w:jc w:val="left"/>
              <w:rPr>
                <w:rFonts w:hint="eastAsia" w:ascii="宋体" w:hAnsi="宋体" w:eastAsia="宋体" w:cs="宋体"/>
                <w:color w:val="auto"/>
                <w:sz w:val="20"/>
                <w:szCs w:val="20"/>
              </w:rPr>
            </w:pPr>
            <w:r>
              <w:rPr>
                <w:rFonts w:hint="eastAsia" w:ascii="宋体" w:hAnsi="宋体" w:eastAsia="宋体" w:cs="宋体"/>
                <w:color w:val="auto"/>
                <w:sz w:val="20"/>
                <w:szCs w:val="20"/>
              </w:rPr>
              <w:t>是否退还投标文件</w:t>
            </w:r>
          </w:p>
        </w:tc>
        <w:tc>
          <w:tcPr>
            <w:tcW w:w="6900" w:type="dxa"/>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28.1</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开标时间及地点</w:t>
            </w:r>
          </w:p>
        </w:tc>
        <w:tc>
          <w:tcPr>
            <w:tcW w:w="6900" w:type="dxa"/>
            <w:vAlign w:val="center"/>
          </w:tcPr>
          <w:p>
            <w:pPr>
              <w:wordWrap w:val="0"/>
              <w:overflowPunct w:val="0"/>
              <w:spacing w:line="360" w:lineRule="exact"/>
              <w:rPr>
                <w:rFonts w:hint="eastAsia" w:ascii="宋体" w:hAnsi="宋体" w:eastAsia="宋体" w:cs="宋体"/>
                <w:b/>
                <w:bCs/>
                <w:color w:val="auto"/>
                <w:sz w:val="20"/>
                <w:szCs w:val="20"/>
                <w:highlight w:val="none"/>
              </w:rPr>
            </w:pPr>
            <w:r>
              <w:rPr>
                <w:rFonts w:hint="eastAsia" w:ascii="宋体" w:hAnsi="宋体" w:eastAsia="宋体" w:cs="宋体"/>
                <w:color w:val="auto"/>
                <w:sz w:val="20"/>
                <w:szCs w:val="20"/>
              </w:rPr>
              <w:t>开标时间</w:t>
            </w:r>
            <w:r>
              <w:rPr>
                <w:rFonts w:hint="eastAsia" w:ascii="宋体" w:hAnsi="宋体" w:eastAsia="宋体" w:cs="宋体"/>
                <w:color w:val="auto"/>
                <w:sz w:val="20"/>
                <w:szCs w:val="20"/>
                <w:highlight w:val="none"/>
              </w:rPr>
              <w:t>：</w:t>
            </w:r>
            <w:r>
              <w:rPr>
                <w:rFonts w:hint="eastAsia" w:ascii="宋体" w:hAnsi="宋体" w:eastAsia="宋体" w:cs="宋体"/>
                <w:b/>
                <w:bCs/>
                <w:color w:val="auto"/>
                <w:sz w:val="20"/>
                <w:szCs w:val="20"/>
                <w:highlight w:val="none"/>
                <w:lang w:eastAsia="zh-CN"/>
              </w:rPr>
              <w:t>2023</w:t>
            </w:r>
            <w:r>
              <w:rPr>
                <w:rFonts w:hint="eastAsia" w:ascii="宋体" w:hAnsi="宋体" w:eastAsia="宋体" w:cs="宋体"/>
                <w:b/>
                <w:bCs/>
                <w:color w:val="auto"/>
                <w:sz w:val="20"/>
                <w:szCs w:val="20"/>
                <w:highlight w:val="none"/>
              </w:rPr>
              <w:t>年0</w:t>
            </w:r>
            <w:r>
              <w:rPr>
                <w:rFonts w:hint="eastAsia" w:ascii="宋体" w:hAnsi="宋体" w:eastAsia="宋体" w:cs="宋体"/>
                <w:b/>
                <w:bCs/>
                <w:color w:val="auto"/>
                <w:sz w:val="20"/>
                <w:szCs w:val="20"/>
                <w:highlight w:val="none"/>
                <w:lang w:val="en-US" w:eastAsia="zh-CN"/>
              </w:rPr>
              <w:t>7</w:t>
            </w:r>
            <w:r>
              <w:rPr>
                <w:rFonts w:hint="eastAsia" w:ascii="宋体" w:hAnsi="宋体" w:eastAsia="宋体" w:cs="宋体"/>
                <w:b/>
                <w:bCs/>
                <w:color w:val="auto"/>
                <w:sz w:val="20"/>
                <w:szCs w:val="20"/>
                <w:highlight w:val="none"/>
              </w:rPr>
              <w:t>月</w:t>
            </w:r>
            <w:r>
              <w:rPr>
                <w:rFonts w:hint="eastAsia" w:ascii="宋体" w:hAnsi="宋体" w:cs="宋体"/>
                <w:b/>
                <w:bCs/>
                <w:color w:val="auto"/>
                <w:sz w:val="20"/>
                <w:szCs w:val="20"/>
                <w:highlight w:val="none"/>
                <w:lang w:val="en-US" w:eastAsia="zh-CN"/>
              </w:rPr>
              <w:t>05</w:t>
            </w:r>
            <w:r>
              <w:rPr>
                <w:rFonts w:hint="eastAsia" w:ascii="宋体" w:hAnsi="宋体" w:eastAsia="宋体" w:cs="宋体"/>
                <w:b/>
                <w:bCs/>
                <w:color w:val="auto"/>
                <w:sz w:val="20"/>
                <w:szCs w:val="20"/>
                <w:highlight w:val="none"/>
              </w:rPr>
              <w:t>日</w:t>
            </w:r>
            <w:r>
              <w:rPr>
                <w:rFonts w:hint="eastAsia" w:ascii="宋体" w:hAnsi="宋体" w:cs="宋体"/>
                <w:b/>
                <w:bCs/>
                <w:color w:val="auto"/>
                <w:sz w:val="20"/>
                <w:szCs w:val="20"/>
                <w:highlight w:val="none"/>
                <w:lang w:val="en-US" w:eastAsia="zh-CN"/>
              </w:rPr>
              <w:t>15</w:t>
            </w:r>
            <w:r>
              <w:rPr>
                <w:rFonts w:hint="eastAsia" w:ascii="宋体" w:hAnsi="宋体" w:eastAsia="宋体" w:cs="宋体"/>
                <w:b/>
                <w:bCs/>
                <w:color w:val="auto"/>
                <w:sz w:val="20"/>
                <w:szCs w:val="20"/>
                <w:highlight w:val="none"/>
              </w:rPr>
              <w:t>时</w:t>
            </w:r>
            <w:r>
              <w:rPr>
                <w:rFonts w:hint="eastAsia" w:ascii="宋体" w:hAnsi="宋体" w:cs="宋体"/>
                <w:b/>
                <w:bCs/>
                <w:color w:val="auto"/>
                <w:sz w:val="20"/>
                <w:szCs w:val="20"/>
                <w:highlight w:val="none"/>
                <w:lang w:val="en-US" w:eastAsia="zh-CN"/>
              </w:rPr>
              <w:t>0</w:t>
            </w:r>
            <w:r>
              <w:rPr>
                <w:rFonts w:hint="eastAsia" w:ascii="宋体" w:hAnsi="宋体" w:eastAsia="宋体" w:cs="宋体"/>
                <w:b/>
                <w:bCs/>
                <w:color w:val="auto"/>
                <w:sz w:val="20"/>
                <w:szCs w:val="20"/>
                <w:highlight w:val="none"/>
              </w:rPr>
              <w:t>0分</w:t>
            </w:r>
            <w:r>
              <w:rPr>
                <w:rFonts w:hint="eastAsia" w:ascii="宋体" w:hAnsi="宋体" w:eastAsia="宋体" w:cs="宋体"/>
                <w:bCs/>
                <w:color w:val="auto"/>
                <w:sz w:val="20"/>
                <w:szCs w:val="20"/>
                <w:highlight w:val="none"/>
              </w:rPr>
              <w:t>（北京时间）</w:t>
            </w:r>
          </w:p>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highlight w:val="none"/>
              </w:rPr>
              <w:t>开标地点：</w:t>
            </w:r>
            <w:r>
              <w:rPr>
                <w:rFonts w:hint="eastAsia" w:ascii="宋体" w:hAnsi="宋体" w:eastAsia="宋体" w:cs="宋体"/>
                <w:color w:val="auto"/>
                <w:sz w:val="20"/>
                <w:szCs w:val="20"/>
                <w:highlight w:val="none"/>
                <w:lang w:eastAsia="zh-CN"/>
              </w:rPr>
              <w:t>滁州市科技馆四楼会议室 (中都大道与同乐路交叉路口政务中心西北滁州市科技馆）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28.3</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开标程序</w:t>
            </w:r>
          </w:p>
        </w:tc>
        <w:tc>
          <w:tcPr>
            <w:tcW w:w="6900" w:type="dxa"/>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开标顺序：</w:t>
            </w:r>
            <w:r>
              <w:rPr>
                <w:rFonts w:hint="eastAsia" w:ascii="宋体" w:hAnsi="宋体" w:eastAsia="宋体" w:cs="宋体"/>
                <w:color w:val="auto"/>
                <w:sz w:val="20"/>
                <w:szCs w:val="20"/>
                <w:lang w:val="en-US" w:eastAsia="zh-CN"/>
              </w:rPr>
              <w:t>拆封</w:t>
            </w:r>
            <w:r>
              <w:rPr>
                <w:rFonts w:hint="eastAsia" w:ascii="宋体" w:hAnsi="宋体" w:eastAsia="宋体" w:cs="宋体"/>
                <w:color w:val="auto"/>
                <w:sz w:val="20"/>
                <w:szCs w:val="20"/>
              </w:rPr>
              <w:t>投标文件后，由评标委员会评审。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29.1</w:t>
            </w:r>
          </w:p>
        </w:tc>
        <w:tc>
          <w:tcPr>
            <w:tcW w:w="1854" w:type="dxa"/>
            <w:vAlign w:val="center"/>
          </w:tcPr>
          <w:p>
            <w:pPr>
              <w:pStyle w:val="21"/>
              <w:wordWrap w:val="0"/>
              <w:overflowPunct w:val="0"/>
              <w:spacing w:line="360" w:lineRule="exact"/>
              <w:ind w:right="-260" w:rightChars="-124"/>
              <w:jc w:val="left"/>
              <w:rPr>
                <w:rFonts w:hint="eastAsia" w:ascii="宋体" w:hAnsi="宋体" w:eastAsia="宋体" w:cs="宋体"/>
                <w:color w:val="auto"/>
                <w:sz w:val="20"/>
                <w:szCs w:val="20"/>
              </w:rPr>
            </w:pPr>
            <w:r>
              <w:rPr>
                <w:rFonts w:hint="eastAsia" w:ascii="宋体" w:hAnsi="宋体" w:eastAsia="宋体" w:cs="宋体"/>
                <w:color w:val="auto"/>
                <w:sz w:val="20"/>
                <w:szCs w:val="20"/>
              </w:rPr>
              <w:t>评标委员会的组建</w:t>
            </w:r>
          </w:p>
        </w:tc>
        <w:tc>
          <w:tcPr>
            <w:tcW w:w="6900" w:type="dxa"/>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highlight w:val="none"/>
              </w:rPr>
              <w:t>评标委员会构成：</w:t>
            </w:r>
            <w:r>
              <w:rPr>
                <w:rFonts w:hint="eastAsia" w:ascii="宋体" w:hAnsi="宋体" w:eastAsia="宋体" w:cs="宋体"/>
                <w:color w:val="auto"/>
                <w:sz w:val="20"/>
                <w:szCs w:val="20"/>
                <w:highlight w:val="none"/>
                <w:u w:val="none" w:color="auto"/>
                <w:lang w:val="en-US" w:eastAsia="zh-CN"/>
              </w:rPr>
              <w:t>依法</w:t>
            </w:r>
            <w:r>
              <w:rPr>
                <w:rFonts w:hint="eastAsia" w:ascii="宋体" w:hAnsi="宋体" w:eastAsia="宋体" w:cs="宋体"/>
                <w:color w:val="auto"/>
                <w:sz w:val="20"/>
                <w:szCs w:val="20"/>
                <w:highlight w:val="none"/>
                <w:u w:val="none" w:color="auto"/>
              </w:rPr>
              <w:t>组成</w:t>
            </w: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32.1.1</w:t>
            </w:r>
          </w:p>
        </w:tc>
        <w:tc>
          <w:tcPr>
            <w:tcW w:w="1854" w:type="dxa"/>
            <w:vAlign w:val="center"/>
          </w:tcPr>
          <w:p>
            <w:pPr>
              <w:pStyle w:val="21"/>
              <w:wordWrap w:val="0"/>
              <w:overflowPunct w:val="0"/>
              <w:spacing w:line="360" w:lineRule="exact"/>
              <w:ind w:right="-42" w:rightChars="-20"/>
              <w:jc w:val="left"/>
              <w:rPr>
                <w:rFonts w:hint="eastAsia" w:ascii="宋体" w:hAnsi="宋体" w:eastAsia="宋体" w:cs="宋体"/>
                <w:color w:val="auto"/>
                <w:sz w:val="20"/>
                <w:szCs w:val="20"/>
              </w:rPr>
            </w:pPr>
            <w:r>
              <w:rPr>
                <w:rFonts w:hint="eastAsia" w:ascii="宋体" w:hAnsi="宋体" w:eastAsia="宋体" w:cs="宋体"/>
                <w:color w:val="auto"/>
                <w:sz w:val="20"/>
                <w:szCs w:val="20"/>
              </w:rPr>
              <w:t>是否授权评标委员会确定中标候选人</w:t>
            </w:r>
          </w:p>
        </w:tc>
        <w:tc>
          <w:tcPr>
            <w:tcW w:w="6900" w:type="dxa"/>
            <w:vAlign w:val="center"/>
          </w:tcPr>
          <w:p>
            <w:pPr>
              <w:pStyle w:val="21"/>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是，评标委</w:t>
            </w:r>
            <w:r>
              <w:rPr>
                <w:rFonts w:hint="eastAsia" w:ascii="宋体" w:hAnsi="宋体" w:eastAsia="宋体" w:cs="宋体"/>
                <w:color w:val="auto"/>
                <w:sz w:val="20"/>
                <w:szCs w:val="20"/>
                <w:highlight w:val="none"/>
              </w:rPr>
              <w:t>员会推荐</w:t>
            </w:r>
            <w:r>
              <w:rPr>
                <w:rFonts w:hint="eastAsia" w:ascii="宋体" w:hAnsi="宋体" w:eastAsia="宋体" w:cs="宋体"/>
                <w:color w:val="auto"/>
                <w:sz w:val="20"/>
                <w:szCs w:val="20"/>
                <w:highlight w:val="none"/>
                <w:u w:val="single"/>
              </w:rPr>
              <w:t xml:space="preserve"> </w:t>
            </w:r>
            <w:r>
              <w:rPr>
                <w:rFonts w:hint="eastAsia" w:hAnsi="宋体" w:cs="宋体"/>
                <w:color w:val="auto"/>
                <w:sz w:val="20"/>
                <w:szCs w:val="20"/>
                <w:highlight w:val="none"/>
                <w:u w:val="single"/>
                <w:lang w:val="en-US" w:eastAsia="zh-CN"/>
              </w:rPr>
              <w:t>1</w:t>
            </w:r>
            <w:r>
              <w:rPr>
                <w:rFonts w:hint="eastAsia" w:ascii="宋体" w:hAnsi="宋体" w:eastAsia="宋体" w:cs="宋体"/>
                <w:color w:val="auto"/>
                <w:sz w:val="20"/>
                <w:szCs w:val="20"/>
                <w:highlight w:val="none"/>
              </w:rPr>
              <w:t>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1"/>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32.1.2</w:t>
            </w:r>
          </w:p>
        </w:tc>
        <w:tc>
          <w:tcPr>
            <w:tcW w:w="1854" w:type="dxa"/>
            <w:vAlign w:val="center"/>
          </w:tcPr>
          <w:p>
            <w:pPr>
              <w:pStyle w:val="21"/>
              <w:wordWrap w:val="0"/>
              <w:overflowPunct w:val="0"/>
              <w:spacing w:line="360" w:lineRule="exact"/>
              <w:ind w:right="-260" w:rightChars="-124"/>
              <w:jc w:val="left"/>
              <w:rPr>
                <w:rFonts w:hint="eastAsia" w:ascii="宋体" w:hAnsi="宋体" w:eastAsia="宋体" w:cs="宋体"/>
                <w:color w:val="auto"/>
                <w:sz w:val="20"/>
                <w:szCs w:val="20"/>
              </w:rPr>
            </w:pPr>
            <w:r>
              <w:rPr>
                <w:rFonts w:hint="eastAsia" w:ascii="宋体" w:hAnsi="宋体" w:eastAsia="宋体" w:cs="宋体"/>
                <w:color w:val="auto"/>
                <w:sz w:val="20"/>
                <w:szCs w:val="20"/>
              </w:rPr>
              <w:t>中标结果公告媒介</w:t>
            </w:r>
          </w:p>
        </w:tc>
        <w:tc>
          <w:tcPr>
            <w:tcW w:w="6900" w:type="dxa"/>
          </w:tcPr>
          <w:p>
            <w:pPr>
              <w:pStyle w:val="21"/>
              <w:wordWrap w:val="0"/>
              <w:overflowPunct w:val="0"/>
              <w:spacing w:line="360" w:lineRule="exact"/>
              <w:rPr>
                <w:rFonts w:hint="eastAsia" w:ascii="宋体" w:hAnsi="宋体" w:eastAsia="宋体" w:cs="宋体"/>
                <w:color w:val="auto"/>
                <w:spacing w:val="-4"/>
                <w:sz w:val="20"/>
                <w:szCs w:val="20"/>
              </w:rPr>
            </w:pPr>
            <w:r>
              <w:rPr>
                <w:rFonts w:hint="eastAsia" w:ascii="宋体" w:hAnsi="宋体" w:eastAsia="宋体" w:cs="宋体"/>
                <w:color w:val="000000"/>
                <w:kern w:val="0"/>
                <w:sz w:val="20"/>
                <w:szCs w:val="20"/>
                <w:lang w:eastAsia="zh-CN"/>
              </w:rPr>
              <w:t>滁州市科学技术馆</w:t>
            </w:r>
            <w:r>
              <w:rPr>
                <w:rFonts w:hint="eastAsia" w:ascii="宋体" w:hAnsi="宋体" w:eastAsia="宋体" w:cs="宋体"/>
                <w:color w:val="auto"/>
                <w:spacing w:val="-4"/>
                <w:sz w:val="20"/>
                <w:szCs w:val="20"/>
              </w:rPr>
              <w:t>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32.2</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中标通知书</w:t>
            </w:r>
          </w:p>
        </w:tc>
        <w:tc>
          <w:tcPr>
            <w:tcW w:w="6900" w:type="dxa"/>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中标通知书须加盖</w:t>
            </w:r>
            <w:r>
              <w:rPr>
                <w:rFonts w:hint="eastAsia" w:ascii="宋体" w:hAnsi="宋体" w:eastAsia="宋体" w:cs="宋体"/>
                <w:color w:val="auto"/>
                <w:sz w:val="20"/>
                <w:szCs w:val="20"/>
                <w:lang w:val="en-US" w:eastAsia="zh-CN"/>
              </w:rPr>
              <w:t>招标人和代理公司公</w:t>
            </w:r>
            <w:r>
              <w:rPr>
                <w:rFonts w:hint="eastAsia" w:ascii="宋体" w:hAnsi="宋体" w:eastAsia="宋体" w:cs="宋体"/>
                <w:color w:val="auto"/>
                <w:sz w:val="20"/>
                <w:szCs w:val="20"/>
              </w:rPr>
              <w:t>章后方可发出。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36.1</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履约担保</w:t>
            </w:r>
          </w:p>
        </w:tc>
        <w:tc>
          <w:tcPr>
            <w:tcW w:w="6900" w:type="dxa"/>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是否收取履约担保：</w:t>
            </w:r>
            <w:r>
              <w:rPr>
                <w:rFonts w:hint="eastAsia" w:ascii="宋体" w:hAnsi="宋体" w:eastAsia="宋体" w:cs="宋体"/>
                <w:color w:val="auto"/>
                <w:sz w:val="20"/>
                <w:szCs w:val="20"/>
              </w:rPr>
              <w:sym w:font="Wingdings 2" w:char="00A3"/>
            </w:r>
            <w:r>
              <w:rPr>
                <w:rFonts w:hint="eastAsia" w:ascii="宋体" w:hAnsi="宋体" w:eastAsia="宋体" w:cs="宋体"/>
                <w:color w:val="auto"/>
                <w:sz w:val="20"/>
                <w:szCs w:val="20"/>
              </w:rPr>
              <w:t>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pStyle w:val="7"/>
              <w:numPr>
                <w:ilvl w:val="0"/>
                <w:numId w:val="0"/>
              </w:numPr>
              <w:wordWrap w:val="0"/>
              <w:overflowPunct w:val="0"/>
              <w:spacing w:line="360" w:lineRule="exact"/>
              <w:jc w:val="left"/>
              <w:rPr>
                <w:rFonts w:hint="eastAsia" w:ascii="宋体" w:hAnsi="宋体" w:eastAsia="宋体" w:cs="宋体"/>
                <w:color w:val="auto"/>
                <w:sz w:val="21"/>
                <w:szCs w:val="18"/>
              </w:rPr>
            </w:pPr>
            <w:r>
              <w:rPr>
                <w:rFonts w:hint="eastAsia" w:ascii="宋体" w:hAnsi="宋体" w:eastAsia="宋体" w:cs="宋体"/>
                <w:color w:val="auto"/>
                <w:sz w:val="21"/>
                <w:szCs w:val="18"/>
              </w:rPr>
              <w:t>付款方式、时间、条件</w:t>
            </w:r>
          </w:p>
        </w:tc>
        <w:tc>
          <w:tcPr>
            <w:tcW w:w="6900" w:type="dxa"/>
            <w:vAlign w:val="center"/>
          </w:tcPr>
          <w:p>
            <w:pPr>
              <w:pStyle w:val="7"/>
              <w:numPr>
                <w:ilvl w:val="0"/>
                <w:numId w:val="0"/>
              </w:numPr>
              <w:wordWrap w:val="0"/>
              <w:overflowPunct w:val="0"/>
              <w:spacing w:line="360" w:lineRule="exact"/>
              <w:jc w:val="left"/>
              <w:rPr>
                <w:rFonts w:hint="eastAsia" w:ascii="宋体" w:hAnsi="宋体" w:eastAsia="宋体" w:cs="宋体"/>
                <w:color w:val="auto"/>
                <w:sz w:val="21"/>
                <w:szCs w:val="18"/>
                <w:lang w:eastAsia="zh-CN"/>
              </w:rPr>
            </w:pPr>
            <w:r>
              <w:rPr>
                <w:rFonts w:hint="eastAsia" w:ascii="宋体" w:hAnsi="宋体" w:eastAsia="宋体" w:cs="宋体"/>
                <w:color w:val="auto"/>
                <w:sz w:val="21"/>
                <w:szCs w:val="18"/>
                <w:lang w:eastAsia="zh-CN"/>
              </w:rPr>
              <w:t>合同签订一周内支付50%，服务期满</w:t>
            </w:r>
            <w:r>
              <w:rPr>
                <w:rFonts w:hint="eastAsia" w:ascii="宋体" w:hAnsi="宋体" w:eastAsia="宋体" w:cs="宋体"/>
                <w:color w:val="auto"/>
                <w:sz w:val="21"/>
                <w:szCs w:val="18"/>
                <w:lang w:val="en-US" w:eastAsia="zh-CN"/>
              </w:rPr>
              <w:t>并经采购人考核合格后付至合同价款的100</w:t>
            </w:r>
            <w:r>
              <w:rPr>
                <w:rFonts w:hint="eastAsia" w:ascii="宋体" w:hAnsi="宋体" w:eastAsia="宋体" w:cs="宋体"/>
                <w:color w:val="auto"/>
                <w:sz w:val="21"/>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招标文件获取方式和时间</w:t>
            </w:r>
          </w:p>
        </w:tc>
        <w:tc>
          <w:tcPr>
            <w:tcW w:w="6900" w:type="dxa"/>
          </w:tcPr>
          <w:p>
            <w:pPr>
              <w:wordWrap w:val="0"/>
              <w:overflowPunct w:val="0"/>
              <w:topLinePunct/>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招标文件获取方式：网上下载；</w:t>
            </w:r>
          </w:p>
          <w:p>
            <w:pPr>
              <w:wordWrap w:val="0"/>
              <w:overflowPunct w:val="0"/>
              <w:topLinePunct/>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获取时间：招标文件发布至投标截止时间。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adjustRightInd w:val="0"/>
              <w:snapToGrid w:val="0"/>
              <w:spacing w:line="440" w:lineRule="exact"/>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highlight w:val="none"/>
              </w:rPr>
              <w:t>解释权</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1</w:t>
            </w:r>
            <w:r>
              <w:rPr>
                <w:rFonts w:hint="eastAsia" w:ascii="宋体" w:hAnsi="宋体" w:eastAsia="宋体" w:cs="宋体"/>
                <w:color w:val="auto"/>
                <w:sz w:val="20"/>
                <w:szCs w:val="20"/>
                <w:highlight w:val="none"/>
              </w:rPr>
              <w:t>）构成本</w:t>
            </w:r>
            <w:r>
              <w:rPr>
                <w:rFonts w:hint="eastAsia" w:ascii="宋体" w:hAnsi="宋体" w:eastAsia="宋体" w:cs="宋体"/>
                <w:color w:val="auto"/>
                <w:sz w:val="20"/>
                <w:szCs w:val="20"/>
                <w:highlight w:val="none"/>
                <w:lang w:eastAsia="zh-CN"/>
              </w:rPr>
              <w:t>招标</w:t>
            </w:r>
            <w:r>
              <w:rPr>
                <w:rFonts w:hint="eastAsia" w:ascii="宋体" w:hAnsi="宋体" w:eastAsia="宋体" w:cs="宋体"/>
                <w:color w:val="auto"/>
                <w:sz w:val="20"/>
                <w:szCs w:val="20"/>
                <w:highlight w:val="none"/>
              </w:rPr>
              <w:t>文件的各个组成文件应互为解释，互为说明；</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2</w:t>
            </w:r>
            <w:r>
              <w:rPr>
                <w:rFonts w:hint="eastAsia" w:ascii="宋体" w:hAnsi="宋体" w:eastAsia="宋体" w:cs="宋体"/>
                <w:color w:val="auto"/>
                <w:sz w:val="20"/>
                <w:szCs w:val="20"/>
                <w:highlight w:val="none"/>
              </w:rPr>
              <w:t>）同一组成文件中就同一事项的规定或约定不一致的，以编排顺序在后者为准；</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3</w:t>
            </w:r>
            <w:r>
              <w:rPr>
                <w:rFonts w:hint="eastAsia" w:ascii="宋体" w:hAnsi="宋体" w:eastAsia="宋体" w:cs="宋体"/>
                <w:color w:val="auto"/>
                <w:sz w:val="20"/>
                <w:szCs w:val="20"/>
                <w:highlight w:val="none"/>
              </w:rPr>
              <w:t>）如有不明确或不一致，构成合同文件组成内容的，以合同文件约定内容为准，且以专用合同条款约定的合同文件优先顺序解释；</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bCs/>
                <w:color w:val="auto"/>
                <w:sz w:val="20"/>
                <w:szCs w:val="20"/>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）按本款前述规定仍不能形成结论的，由</w:t>
            </w:r>
            <w:r>
              <w:rPr>
                <w:rFonts w:hint="eastAsia" w:ascii="宋体" w:hAnsi="宋体" w:eastAsia="宋体" w:cs="宋体"/>
                <w:color w:val="auto"/>
                <w:sz w:val="20"/>
                <w:szCs w:val="20"/>
                <w:highlight w:val="none"/>
                <w:lang w:eastAsia="zh-CN"/>
              </w:rPr>
              <w:t>招标单位</w:t>
            </w:r>
            <w:r>
              <w:rPr>
                <w:rFonts w:hint="eastAsia" w:ascii="宋体" w:hAnsi="宋体" w:eastAsia="宋体" w:cs="宋体"/>
                <w:color w:val="auto"/>
                <w:sz w:val="20"/>
                <w:szCs w:val="20"/>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sz w:val="20"/>
                <w:szCs w:val="20"/>
                <w:highlight w:val="none"/>
              </w:rPr>
              <w:t>税收管理规定</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0"/>
                <w:szCs w:val="20"/>
              </w:rPr>
            </w:pPr>
            <w:r>
              <w:rPr>
                <w:rFonts w:hint="eastAsia" w:ascii="宋体" w:hAnsi="宋体" w:eastAsia="宋体" w:cs="宋体"/>
                <w:color w:val="auto"/>
                <w:sz w:val="20"/>
                <w:szCs w:val="20"/>
                <w:highlight w:val="none"/>
              </w:rPr>
              <w:t>执行《滁州市人民政府办公室关于印发滁州市综合治税工作方案的通知》（滁政办秘〔2019〕120号）文件管理规定，收款单位应依法履行纳税义务，否则将给予相应的处罚。</w:t>
            </w:r>
          </w:p>
        </w:tc>
      </w:tr>
    </w:tbl>
    <w:p>
      <w:pPr>
        <w:pageBreakBefore/>
        <w:wordWrap w:val="0"/>
        <w:overflowPunct w:val="0"/>
        <w:jc w:val="center"/>
        <w:outlineLvl w:val="1"/>
        <w:rPr>
          <w:rFonts w:hint="eastAsia" w:ascii="宋体" w:hAnsi="宋体" w:eastAsia="宋体" w:cs="宋体"/>
          <w:b/>
          <w:color w:val="auto"/>
          <w:sz w:val="24"/>
          <w:szCs w:val="28"/>
        </w:rPr>
      </w:pPr>
      <w:bookmarkStart w:id="36" w:name="_Toc58430315"/>
      <w:bookmarkStart w:id="37" w:name="_Toc449028866"/>
      <w:bookmarkStart w:id="38" w:name="_Toc267320058"/>
      <w:bookmarkStart w:id="39" w:name="_Toc363135205"/>
      <w:r>
        <w:rPr>
          <w:rFonts w:hint="eastAsia" w:ascii="宋体" w:hAnsi="宋体" w:eastAsia="宋体" w:cs="宋体"/>
          <w:b/>
          <w:color w:val="auto"/>
          <w:sz w:val="24"/>
          <w:szCs w:val="24"/>
        </w:rPr>
        <w:t>二、投标人须知</w:t>
      </w:r>
      <w:bookmarkEnd w:id="36"/>
      <w:bookmarkEnd w:id="37"/>
    </w:p>
    <w:p>
      <w:pPr>
        <w:wordWrap w:val="0"/>
        <w:overflowPunct w:val="0"/>
        <w:spacing w:line="440" w:lineRule="exact"/>
        <w:jc w:val="center"/>
        <w:rPr>
          <w:rFonts w:hint="eastAsia" w:ascii="宋体" w:hAnsi="宋体" w:eastAsia="宋体" w:cs="宋体"/>
          <w:color w:val="auto"/>
          <w:sz w:val="24"/>
          <w:szCs w:val="24"/>
        </w:rPr>
      </w:pPr>
      <w:bookmarkStart w:id="40" w:name="_Toc449028867"/>
      <w:r>
        <w:rPr>
          <w:rFonts w:hint="eastAsia" w:ascii="宋体" w:hAnsi="宋体" w:eastAsia="宋体" w:cs="宋体"/>
          <w:b/>
          <w:color w:val="auto"/>
          <w:sz w:val="24"/>
          <w:szCs w:val="24"/>
        </w:rPr>
        <w:t>（一）</w:t>
      </w:r>
      <w:r>
        <w:rPr>
          <w:rFonts w:hint="eastAsia" w:ascii="宋体" w:hAnsi="宋体" w:eastAsia="宋体" w:cs="宋体"/>
          <w:b/>
          <w:color w:val="auto"/>
          <w:sz w:val="24"/>
          <w:szCs w:val="28"/>
        </w:rPr>
        <w:t>总  则</w:t>
      </w:r>
      <w:bookmarkEnd w:id="40"/>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1.项目概况</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1.1本次招标采购项目名称：见投标人须知前附表。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项目编号：见投标人须知前附表。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招标人：见投标人须知前附表。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供货期（服务周期）：见投标人须知前附表。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供货（服务）地点：见投标人须知前附表。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1.2采购人及联系人: 见投标人须知前附表。</w:t>
      </w:r>
    </w:p>
    <w:p>
      <w:pPr>
        <w:wordWrap w:val="0"/>
        <w:overflowPunct w:val="0"/>
        <w:snapToGrid w:val="0"/>
        <w:spacing w:line="440" w:lineRule="exact"/>
        <w:ind w:firstLine="500" w:firstLineChars="25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采购代理机构及联系人: 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1.3资金来源：见投标人须知前附表。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1.4本项目预算：见投标人须知前附表。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1.5本项目最高限价：见投标人须知前附表。</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2.招标范围：</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2.1 采购内容：见投标人须知前附表。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 技术要求：详见招标文件第四章</w:t>
      </w:r>
      <w:r>
        <w:rPr>
          <w:rFonts w:hint="eastAsia" w:ascii="宋体" w:hAnsi="宋体" w:eastAsia="宋体" w:cs="宋体"/>
          <w:color w:val="auto"/>
          <w:sz w:val="20"/>
          <w:szCs w:val="20"/>
          <w:lang w:eastAsia="zh-CN"/>
        </w:rPr>
        <w:t>采购内容及服务要求</w:t>
      </w:r>
      <w:r>
        <w:rPr>
          <w:rFonts w:hint="eastAsia" w:ascii="宋体" w:hAnsi="宋体" w:eastAsia="宋体" w:cs="宋体"/>
          <w:color w:val="auto"/>
          <w:sz w:val="20"/>
          <w:szCs w:val="20"/>
        </w:rPr>
        <w:t>。</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3.标包划分：</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3.1本项目划分：见投标人须知前附表。</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4.招标方式：</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4.1本项目招标方式：见投标人须知前附表。</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5.计价方式：</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5.1本次招标项目合同采用</w:t>
      </w:r>
      <w:r>
        <w:rPr>
          <w:rFonts w:hint="eastAsia" w:ascii="宋体" w:hAnsi="宋体" w:eastAsia="宋体" w:cs="宋体"/>
          <w:color w:val="auto"/>
          <w:sz w:val="20"/>
          <w:szCs w:val="20"/>
          <w:u w:val="single"/>
        </w:rPr>
        <w:t xml:space="preserve">  固定</w:t>
      </w:r>
      <w:r>
        <w:rPr>
          <w:rFonts w:hint="eastAsia" w:ascii="宋体" w:hAnsi="宋体" w:eastAsia="宋体" w:cs="宋体"/>
          <w:color w:val="auto"/>
          <w:sz w:val="20"/>
          <w:szCs w:val="20"/>
          <w:u w:val="single"/>
          <w:lang w:val="en-US" w:eastAsia="zh-CN"/>
        </w:rPr>
        <w:t>单价</w:t>
      </w:r>
      <w:r>
        <w:rPr>
          <w:rFonts w:hint="eastAsia" w:ascii="宋体" w:hAnsi="宋体" w:eastAsia="宋体" w:cs="宋体"/>
          <w:color w:val="auto"/>
          <w:sz w:val="20"/>
          <w:szCs w:val="20"/>
          <w:u w:val="single"/>
        </w:rPr>
        <w:t>。</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6.评标办法：</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6.1本次招标评标采用</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lang w:val="en-US" w:eastAsia="zh-CN"/>
        </w:rPr>
        <w:t>最低价</w:t>
      </w:r>
      <w:r>
        <w:rPr>
          <w:rFonts w:hint="eastAsia" w:ascii="宋体" w:hAnsi="宋体" w:eastAsia="宋体" w:cs="宋体"/>
          <w:color w:val="auto"/>
          <w:sz w:val="20"/>
          <w:szCs w:val="20"/>
          <w:u w:val="single"/>
        </w:rPr>
        <w:t xml:space="preserve">法 </w:t>
      </w:r>
      <w:r>
        <w:rPr>
          <w:rFonts w:hint="eastAsia" w:ascii="宋体" w:hAnsi="宋体" w:eastAsia="宋体" w:cs="宋体"/>
          <w:color w:val="auto"/>
          <w:sz w:val="20"/>
          <w:szCs w:val="20"/>
        </w:rPr>
        <w:t>（详见第三章评标办法）</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7.投标人资格：</w:t>
      </w:r>
    </w:p>
    <w:p>
      <w:pPr>
        <w:wordWrap w:val="0"/>
        <w:overflowPunct w:val="0"/>
        <w:snapToGrid w:val="0"/>
        <w:spacing w:line="38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7.1参与采购活动的投标人必须是满足《中华人民共和国政府采购法》规定条件的法人、其他组织或者自然人：</w:t>
      </w:r>
    </w:p>
    <w:p>
      <w:pPr>
        <w:wordWrap w:val="0"/>
        <w:overflowPunct w:val="0"/>
        <w:snapToGrid w:val="0"/>
        <w:spacing w:line="38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7.2由于政府采购项目的差异性，投标人在参与具体政府采购项目活动时，应仔细阅读该项目的资质要求,具体见投标人须知前附表。</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8. 投标费用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8.1投标人准备和参加投标活动发生的费用自理。</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9.</w:t>
      </w:r>
      <w:bookmarkStart w:id="41" w:name="_Toc247513962"/>
      <w:bookmarkStart w:id="42" w:name="_Toc296602429"/>
      <w:bookmarkStart w:id="43" w:name="_Toc247592876"/>
      <w:bookmarkStart w:id="44" w:name="_Toc152042315"/>
      <w:bookmarkStart w:id="45" w:name="_Toc247527563"/>
      <w:bookmarkStart w:id="46" w:name="_Toc144974507"/>
      <w:bookmarkStart w:id="47" w:name="_Toc152045539"/>
      <w:r>
        <w:rPr>
          <w:rFonts w:hint="eastAsia" w:ascii="宋体" w:hAnsi="宋体" w:eastAsia="宋体" w:cs="宋体"/>
          <w:b/>
          <w:color w:val="auto"/>
          <w:sz w:val="20"/>
          <w:szCs w:val="20"/>
        </w:rPr>
        <w:t xml:space="preserve"> 踏勘现场</w:t>
      </w:r>
      <w:bookmarkEnd w:id="41"/>
      <w:bookmarkEnd w:id="42"/>
      <w:bookmarkEnd w:id="43"/>
      <w:bookmarkEnd w:id="44"/>
      <w:bookmarkEnd w:id="45"/>
      <w:bookmarkEnd w:id="46"/>
      <w:bookmarkEnd w:id="47"/>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 xml:space="preserve">9.1 投标人须知前附表规定组织踏勘现场的，采购人按投标人须知前附表规定的时间、地点组织投标人踏勘项目现场。 </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9.2 投标人踏勘现场发生的费用自理。</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9.3 除采购人的原因外，投标人自行负责在踏勘现场中所发生的人员伤亡和财产损失。</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9.4 采购人在踏勘现场中介绍的场地和相关的周边环境情况，供投标人在编制投标文件时参考，采购人不对投标人据此作出的判断和决策负责。</w:t>
      </w:r>
      <w:bookmarkStart w:id="48" w:name="_Toc152042316"/>
      <w:bookmarkStart w:id="49" w:name="_Toc152045540"/>
      <w:bookmarkStart w:id="50" w:name="_Toc247527564"/>
      <w:bookmarkStart w:id="51" w:name="_Toc247513963"/>
      <w:bookmarkStart w:id="52" w:name="_Toc247592877"/>
      <w:bookmarkStart w:id="53" w:name="_Toc296602430"/>
      <w:bookmarkStart w:id="54" w:name="_Toc144974508"/>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10. 投标预备会</w:t>
      </w:r>
      <w:bookmarkEnd w:id="48"/>
      <w:bookmarkEnd w:id="49"/>
      <w:bookmarkEnd w:id="50"/>
      <w:bookmarkEnd w:id="51"/>
      <w:bookmarkEnd w:id="52"/>
      <w:bookmarkEnd w:id="53"/>
      <w:bookmarkEnd w:id="54"/>
      <w:r>
        <w:rPr>
          <w:rFonts w:hint="eastAsia" w:ascii="宋体" w:hAnsi="宋体" w:eastAsia="宋体" w:cs="宋体"/>
          <w:b/>
          <w:color w:val="auto"/>
          <w:sz w:val="20"/>
          <w:szCs w:val="20"/>
        </w:rPr>
        <w:t>（本项目不采用）</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10.1投标人须知前附表规定召开投标预备会的，采购人按投标人须知前附表规定的时间和地点召开投标预备会，澄清投标人提出的问题。</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10.2投标人应在投标人须知前附表规定的时间前，将提出的问题送达采购人，以便采购人澄清。</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10.3采购人在投标人须知前附表规定的时间，将对投标人所提的问题进行澄清。该澄清内容为招标文件的组成部分。</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11. 联合投标（本项目不采用）</w:t>
      </w:r>
    </w:p>
    <w:p>
      <w:pPr>
        <w:wordWrap w:val="0"/>
        <w:overflowPunct w:val="0"/>
        <w:spacing w:line="440" w:lineRule="exact"/>
        <w:ind w:firstLine="394" w:firstLineChars="196"/>
        <w:jc w:val="left"/>
        <w:rPr>
          <w:rFonts w:hint="eastAsia" w:ascii="宋体" w:hAnsi="宋体" w:eastAsia="宋体" w:cs="宋体"/>
          <w:b/>
          <w:color w:val="auto"/>
          <w:sz w:val="20"/>
          <w:szCs w:val="20"/>
        </w:rPr>
      </w:pPr>
      <w:r>
        <w:rPr>
          <w:rFonts w:hint="eastAsia" w:ascii="宋体" w:hAnsi="宋体" w:eastAsia="宋体" w:cs="宋体"/>
          <w:b/>
          <w:color w:val="auto"/>
          <w:sz w:val="20"/>
          <w:szCs w:val="20"/>
        </w:rPr>
        <w:t>12.招标代理费</w:t>
      </w:r>
    </w:p>
    <w:p>
      <w:pPr>
        <w:wordWrap w:val="0"/>
        <w:overflowPunct w:val="0"/>
        <w:spacing w:line="36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bCs/>
          <w:color w:val="auto"/>
          <w:sz w:val="20"/>
          <w:szCs w:val="20"/>
        </w:rPr>
        <w:t xml:space="preserve">  12.1详见</w:t>
      </w:r>
      <w:r>
        <w:rPr>
          <w:rFonts w:hint="eastAsia" w:ascii="宋体" w:hAnsi="宋体" w:eastAsia="宋体" w:cs="宋体"/>
          <w:color w:val="auto"/>
          <w:sz w:val="20"/>
          <w:szCs w:val="20"/>
        </w:rPr>
        <w:t>投标人须知前附表。</w:t>
      </w:r>
    </w:p>
    <w:p>
      <w:pPr>
        <w:wordWrap w:val="0"/>
        <w:overflowPunct w:val="0"/>
        <w:spacing w:line="38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13.投标人应注意的事项</w:t>
      </w:r>
    </w:p>
    <w:p>
      <w:pPr>
        <w:wordWrap w:val="0"/>
        <w:overflowPunct w:val="0"/>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13.1投标人一旦按规定缴纳了投标保证金并参加投标，即被认为接受了本招标文件中的所有条件和规定。投标人必须严格按招标文件的要求编制投标文件，以便评委审核。否则，由此产生的一切后果由投标人承担。</w:t>
      </w:r>
    </w:p>
    <w:p>
      <w:pPr>
        <w:wordWrap w:val="0"/>
        <w:overflowPunct w:val="0"/>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13.2投标人对采购内容中规定的技术参数、规格、数量和要求等必须最大限度的满足招标文件的相关要求。</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13.3推荐品牌有助于投标人选择所投产品，仅供参考，并无限制性，可以选择性能不低于推荐品牌的产品，但所投产品的技术参数，要最大限度满足招标文件提供的详细参数。</w:t>
      </w:r>
    </w:p>
    <w:p>
      <w:pPr>
        <w:wordWrap w:val="0"/>
        <w:overflowPunct w:val="0"/>
        <w:spacing w:line="440" w:lineRule="exact"/>
        <w:ind w:firstLine="392" w:firstLineChars="196"/>
        <w:rPr>
          <w:rFonts w:hint="eastAsia" w:ascii="宋体" w:hAnsi="宋体" w:eastAsia="宋体" w:cs="宋体"/>
          <w:color w:val="auto"/>
          <w:sz w:val="20"/>
          <w:szCs w:val="20"/>
        </w:rPr>
      </w:pPr>
      <w:r>
        <w:rPr>
          <w:rFonts w:hint="eastAsia" w:ascii="宋体" w:hAnsi="宋体" w:eastAsia="宋体" w:cs="宋体"/>
          <w:color w:val="auto"/>
          <w:sz w:val="20"/>
          <w:szCs w:val="20"/>
        </w:rPr>
        <w:t>13.4 所有投标人的投标保证金都应在投标文件规定的投标保证金缴纳截止时间前缴纳，以资金到账时间为准</w:t>
      </w:r>
      <w:r>
        <w:rPr>
          <w:rFonts w:hint="eastAsia" w:ascii="宋体" w:hAnsi="宋体" w:eastAsia="宋体" w:cs="宋体"/>
          <w:b w:val="0"/>
          <w:bCs/>
          <w:color w:val="auto"/>
          <w:sz w:val="20"/>
          <w:szCs w:val="20"/>
        </w:rPr>
        <w:t>（采用支票、汇票、本票、保函等的，以支票、汇票、本票、保函等递交的时间为准）</w:t>
      </w:r>
      <w:r>
        <w:rPr>
          <w:rFonts w:hint="eastAsia" w:ascii="宋体" w:hAnsi="宋体" w:eastAsia="宋体" w:cs="宋体"/>
          <w:b/>
          <w:bCs/>
          <w:color w:val="auto"/>
          <w:sz w:val="20"/>
          <w:szCs w:val="20"/>
        </w:rPr>
        <w:t>（本项目无需缴纳投标保证金）</w:t>
      </w:r>
      <w:r>
        <w:rPr>
          <w:rFonts w:hint="eastAsia" w:ascii="宋体" w:hAnsi="宋体" w:eastAsia="宋体" w:cs="宋体"/>
          <w:color w:val="auto"/>
          <w:sz w:val="20"/>
          <w:szCs w:val="20"/>
        </w:rPr>
        <w:t>。</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13.5</w:t>
      </w:r>
      <w:r>
        <w:rPr>
          <w:rFonts w:hint="eastAsia" w:ascii="宋体" w:hAnsi="宋体" w:eastAsia="宋体" w:cs="宋体"/>
          <w:bCs/>
          <w:color w:val="auto"/>
          <w:sz w:val="20"/>
          <w:szCs w:val="20"/>
        </w:rPr>
        <w:t>单位负责人为同一人或者存在直接控股、管理关系的不同投标人，不得参加同一合同项下的政府采购活动。</w:t>
      </w:r>
      <w:r>
        <w:rPr>
          <w:rFonts w:hint="eastAsia" w:ascii="宋体" w:hAnsi="宋体" w:eastAsia="宋体" w:cs="宋体"/>
          <w:color w:val="auto"/>
          <w:sz w:val="20"/>
          <w:szCs w:val="20"/>
        </w:rPr>
        <w:t>为采购项目提供整体设计、规范编制或者项目管理、监理、检测等服务的投标人，不得再参加该采购项目的其他采购活动。</w:t>
      </w:r>
    </w:p>
    <w:p>
      <w:pPr>
        <w:wordWrap w:val="0"/>
        <w:overflowPunct w:val="0"/>
        <w:spacing w:line="400" w:lineRule="exact"/>
        <w:ind w:firstLine="398" w:firstLineChars="199"/>
        <w:jc w:val="left"/>
        <w:rPr>
          <w:rFonts w:hint="eastAsia" w:ascii="宋体" w:hAnsi="宋体" w:eastAsia="宋体" w:cs="宋体"/>
          <w:color w:val="auto"/>
          <w:sz w:val="20"/>
          <w:szCs w:val="20"/>
        </w:rPr>
      </w:pPr>
      <w:r>
        <w:rPr>
          <w:rFonts w:hint="eastAsia" w:ascii="宋体" w:hAnsi="宋体" w:eastAsia="宋体" w:cs="宋体"/>
          <w:color w:val="auto"/>
          <w:sz w:val="20"/>
          <w:szCs w:val="20"/>
        </w:rPr>
        <w:t>13.6  投标人被视为充分熟悉本招标项目所在地的与履行合同有关的各种情况，包括但不限于：</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（1）国家对本次投标货物和服务的生产、安装调试、验收、维修等有关法律、法规及行业管理标准；</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（2）安徽省及滁州市等有关管理部门的相关规定；</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（3）采购人的相关场地情况、基础建设、电力供应情况及相关设计标准。</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本招标文件不再对上述情况进行描述。</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13.7  凡投标人在我市公共资源交易活动中出现违法违规、破坏市场秩序等不良行为且被监管部门处罚的，一律在滁州市公共资源交易网等相关网站曝光。</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13.8  投标人的不良行为、失信行为及行政处罚等效力不因企业名称的变更而改变。</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13.9  中标候选人无正当理由放弃中标候选人资格的，其保证金将不予退还，并被记不良信息记录。</w:t>
      </w:r>
    </w:p>
    <w:p>
      <w:pPr>
        <w:pStyle w:val="2"/>
        <w:wordWrap w:val="0"/>
        <w:overflowPunct w:val="0"/>
        <w:ind w:left="0" w:leftChars="0"/>
        <w:rPr>
          <w:rFonts w:hint="eastAsia" w:ascii="宋体" w:hAnsi="宋体" w:eastAsia="宋体" w:cs="宋体"/>
          <w:color w:val="auto"/>
          <w:sz w:val="20"/>
          <w:szCs w:val="22"/>
        </w:rPr>
      </w:pPr>
      <w:r>
        <w:rPr>
          <w:rFonts w:hint="eastAsia" w:ascii="宋体" w:hAnsi="宋体" w:eastAsia="宋体" w:cs="宋体"/>
          <w:color w:val="auto"/>
          <w:sz w:val="20"/>
          <w:szCs w:val="20"/>
        </w:rPr>
        <w:t>13.10  若存在不予退还投标人投标保证金的情形，银行转账的，由市公共资源交易中心代为收缴，递交保函、支票、汇票、本票的，由采购人予以追缴。</w:t>
      </w:r>
    </w:p>
    <w:p>
      <w:pPr>
        <w:wordWrap w:val="0"/>
        <w:overflowPunct w:val="0"/>
        <w:spacing w:before="312" w:beforeLines="100" w:after="312" w:afterLines="100" w:line="440" w:lineRule="exact"/>
        <w:jc w:val="center"/>
        <w:rPr>
          <w:rFonts w:hint="eastAsia" w:ascii="宋体" w:hAnsi="宋体" w:eastAsia="宋体" w:cs="宋体"/>
          <w:b/>
          <w:color w:val="auto"/>
          <w:sz w:val="24"/>
          <w:szCs w:val="24"/>
        </w:rPr>
      </w:pPr>
      <w:bookmarkStart w:id="55" w:name="_Toc449028868"/>
      <w:r>
        <w:rPr>
          <w:rFonts w:hint="eastAsia" w:ascii="宋体" w:hAnsi="宋体" w:eastAsia="宋体" w:cs="宋体"/>
          <w:b/>
          <w:color w:val="auto"/>
          <w:sz w:val="24"/>
          <w:szCs w:val="24"/>
        </w:rPr>
        <w:t>（二）</w:t>
      </w:r>
      <w:bookmarkEnd w:id="55"/>
      <w:r>
        <w:rPr>
          <w:rFonts w:hint="eastAsia" w:ascii="宋体" w:hAnsi="宋体" w:eastAsia="宋体" w:cs="宋体"/>
          <w:b/>
          <w:color w:val="auto"/>
          <w:sz w:val="24"/>
          <w:szCs w:val="24"/>
        </w:rPr>
        <w:t>招标文件</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15. 招标文件的编制依据</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根据</w:t>
      </w:r>
      <w:r>
        <w:rPr>
          <w:rFonts w:hint="eastAsia" w:ascii="宋体" w:hAnsi="宋体" w:eastAsia="宋体" w:cs="宋体"/>
          <w:color w:val="auto"/>
          <w:sz w:val="20"/>
          <w:szCs w:val="22"/>
        </w:rPr>
        <w:t>《中华人民共和国政府采购法》、《中华人民共和国政府采购法实施条例》</w:t>
      </w:r>
      <w:r>
        <w:rPr>
          <w:rFonts w:hint="eastAsia" w:ascii="宋体" w:hAnsi="宋体" w:eastAsia="宋体" w:cs="宋体"/>
          <w:color w:val="auto"/>
          <w:sz w:val="20"/>
          <w:szCs w:val="20"/>
        </w:rPr>
        <w:t>、《政府采购货物和服务招标投标管理办法》和</w:t>
      </w:r>
      <w:r>
        <w:rPr>
          <w:rFonts w:hint="eastAsia" w:ascii="宋体" w:hAnsi="宋体" w:eastAsia="宋体" w:cs="宋体"/>
          <w:color w:val="auto"/>
          <w:sz w:val="20"/>
          <w:szCs w:val="22"/>
        </w:rPr>
        <w:t>《中华人民共和国民法典》</w:t>
      </w:r>
      <w:r>
        <w:rPr>
          <w:rFonts w:hint="eastAsia" w:ascii="宋体" w:hAnsi="宋体" w:eastAsia="宋体" w:cs="宋体"/>
          <w:color w:val="auto"/>
          <w:spacing w:val="-2"/>
          <w:sz w:val="20"/>
          <w:szCs w:val="20"/>
        </w:rPr>
        <w:t>等相关法律法规和规章及部、省、市级规范性文件的规定，编制本招标文件。</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16. 招标文件的组成</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16.1 招标文件包括内容：</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第一章  招标公告</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第二章  投标人须知</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第三章  评标办法</w:t>
      </w:r>
    </w:p>
    <w:p>
      <w:pPr>
        <w:wordWrap w:val="0"/>
        <w:overflowPunct w:val="0"/>
        <w:spacing w:line="440" w:lineRule="exact"/>
        <w:ind w:firstLine="1400" w:firstLineChars="700"/>
        <w:rPr>
          <w:rFonts w:hint="eastAsia" w:ascii="宋体" w:hAnsi="宋体" w:eastAsia="宋体" w:cs="宋体"/>
          <w:color w:val="auto"/>
          <w:sz w:val="20"/>
          <w:szCs w:val="20"/>
          <w:lang w:eastAsia="zh-CN"/>
        </w:rPr>
      </w:pPr>
      <w:r>
        <w:rPr>
          <w:rFonts w:hint="eastAsia" w:ascii="宋体" w:hAnsi="宋体" w:eastAsia="宋体" w:cs="宋体"/>
          <w:color w:val="auto"/>
          <w:sz w:val="20"/>
          <w:szCs w:val="20"/>
        </w:rPr>
        <w:t xml:space="preserve">第四章  </w:t>
      </w:r>
      <w:r>
        <w:rPr>
          <w:rFonts w:hint="eastAsia" w:ascii="宋体" w:hAnsi="宋体" w:eastAsia="宋体" w:cs="宋体"/>
          <w:color w:val="auto"/>
          <w:sz w:val="20"/>
          <w:szCs w:val="20"/>
          <w:lang w:eastAsia="zh-CN"/>
        </w:rPr>
        <w:t>采购内容及服务要求</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第五章  合同条款及格式</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第六章  投标文件格式</w:t>
      </w:r>
    </w:p>
    <w:p>
      <w:pPr>
        <w:wordWrap w:val="0"/>
        <w:overflowPunct w:val="0"/>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 xml:space="preserve">   16.2 除16.1款内容外，招标答疑亦为招标文件的组成部分，对采购人和投标人起约束作用。</w:t>
      </w:r>
    </w:p>
    <w:p>
      <w:pPr>
        <w:wordWrap w:val="0"/>
        <w:overflowPunct w:val="0"/>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 xml:space="preserve">   16.3投标人应仔细阅读和检查招标文件的全部内容。如发现缺页或附件不全，应及时向采购人提出，以便补齐。</w:t>
      </w:r>
    </w:p>
    <w:p>
      <w:pPr>
        <w:wordWrap w:val="0"/>
        <w:overflowPunct w:val="0"/>
        <w:spacing w:line="440" w:lineRule="exact"/>
        <w:ind w:firstLine="402" w:firstLineChars="200"/>
        <w:rPr>
          <w:rFonts w:hint="eastAsia" w:ascii="宋体" w:hAnsi="宋体" w:eastAsia="宋体" w:cs="宋体"/>
          <w:b/>
          <w:bCs/>
          <w:color w:val="auto"/>
          <w:sz w:val="20"/>
          <w:szCs w:val="20"/>
        </w:rPr>
      </w:pPr>
      <w:r>
        <w:rPr>
          <w:rFonts w:hint="eastAsia" w:ascii="宋体" w:hAnsi="宋体" w:eastAsia="宋体" w:cs="宋体"/>
          <w:b/>
          <w:bCs/>
          <w:color w:val="auto"/>
          <w:sz w:val="20"/>
          <w:szCs w:val="20"/>
        </w:rPr>
        <w:t>17. 招标文件的修改、补充、解释</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17.1 招标文件发出后，采购人在规定的投标截止时间前可对招标文件进行必要的修改和补充，并以澄清公告形式在</w:t>
      </w:r>
      <w:r>
        <w:rPr>
          <w:rFonts w:hint="eastAsia" w:ascii="宋体" w:hAnsi="宋体" w:eastAsia="宋体" w:cs="宋体"/>
          <w:color w:val="auto"/>
          <w:sz w:val="20"/>
          <w:szCs w:val="20"/>
          <w:lang w:val="en-US" w:eastAsia="zh-CN"/>
        </w:rPr>
        <w:t>网站</w:t>
      </w:r>
      <w:r>
        <w:rPr>
          <w:rFonts w:hint="eastAsia" w:ascii="宋体" w:hAnsi="宋体" w:eastAsia="宋体" w:cs="宋体"/>
          <w:color w:val="auto"/>
          <w:sz w:val="20"/>
          <w:szCs w:val="20"/>
        </w:rPr>
        <w:t>予以公告，请各位投标人注意查看有关澄清内容，如不及时查看造成后果由投标人自负。招标文件的修改、补充等内容作为招标文件的组成部分，具有约束作用。</w:t>
      </w:r>
    </w:p>
    <w:p>
      <w:pPr>
        <w:wordWrap w:val="0"/>
        <w:overflowPunct w:val="0"/>
        <w:spacing w:line="440" w:lineRule="exact"/>
        <w:ind w:firstLine="400" w:firstLineChars="200"/>
        <w:rPr>
          <w:rFonts w:hint="eastAsia" w:ascii="宋体" w:hAnsi="宋体" w:eastAsia="宋体" w:cs="宋体"/>
          <w:bCs/>
          <w:color w:val="auto"/>
          <w:sz w:val="20"/>
          <w:szCs w:val="20"/>
        </w:rPr>
      </w:pPr>
      <w:r>
        <w:rPr>
          <w:rFonts w:hint="eastAsia" w:ascii="宋体" w:hAnsi="宋体" w:eastAsia="宋体" w:cs="宋体"/>
          <w:bCs/>
          <w:color w:val="auto"/>
          <w:sz w:val="20"/>
          <w:szCs w:val="20"/>
        </w:rPr>
        <w:t>17.2 投标人应在投标截止时间前关注原采购信息发布媒体上有关本项目有无变更公告，如不及时查看造成后果由投标人自负。</w:t>
      </w:r>
    </w:p>
    <w:p>
      <w:pPr>
        <w:wordWrap w:val="0"/>
        <w:overflowPunct w:val="0"/>
        <w:spacing w:line="440" w:lineRule="exact"/>
        <w:ind w:firstLine="400" w:firstLineChars="200"/>
        <w:rPr>
          <w:rFonts w:hint="eastAsia" w:ascii="宋体" w:hAnsi="宋体" w:eastAsia="宋体" w:cs="宋体"/>
          <w:bCs/>
          <w:color w:val="auto"/>
          <w:sz w:val="20"/>
          <w:szCs w:val="20"/>
        </w:rPr>
      </w:pPr>
      <w:r>
        <w:rPr>
          <w:rFonts w:hint="eastAsia" w:ascii="宋体" w:hAnsi="宋体" w:eastAsia="宋体" w:cs="宋体"/>
          <w:bCs/>
          <w:color w:val="auto"/>
          <w:sz w:val="20"/>
          <w:szCs w:val="20"/>
        </w:rPr>
        <w:t>17.3招标文件的解释</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本招标文件由采购人（或其委托的采购代理机构）负责解释。</w:t>
      </w:r>
    </w:p>
    <w:p>
      <w:pPr>
        <w:wordWrap w:val="0"/>
        <w:overflowPunct w:val="0"/>
        <w:spacing w:line="440" w:lineRule="exact"/>
        <w:rPr>
          <w:rFonts w:hint="eastAsia" w:ascii="宋体" w:hAnsi="宋体" w:eastAsia="宋体" w:cs="宋体"/>
          <w:b/>
          <w:color w:val="auto"/>
          <w:sz w:val="20"/>
          <w:szCs w:val="20"/>
        </w:rPr>
      </w:pPr>
      <w:r>
        <w:rPr>
          <w:rFonts w:hint="eastAsia" w:ascii="宋体" w:hAnsi="宋体" w:eastAsia="宋体" w:cs="宋体"/>
          <w:b/>
          <w:color w:val="auto"/>
          <w:sz w:val="20"/>
          <w:szCs w:val="20"/>
        </w:rPr>
        <w:t>18. 招标文件的发出</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18.1招标文件、招标文件的澄清、修改、补充及招标答疑等均应报</w:t>
      </w:r>
      <w:r>
        <w:rPr>
          <w:rFonts w:hint="eastAsia" w:ascii="宋体" w:hAnsi="宋体" w:eastAsia="宋体" w:cs="宋体"/>
          <w:color w:val="auto"/>
          <w:sz w:val="20"/>
          <w:szCs w:val="20"/>
          <w:lang w:val="en-US" w:eastAsia="zh-CN"/>
        </w:rPr>
        <w:t>招标人</w:t>
      </w:r>
      <w:r>
        <w:rPr>
          <w:rFonts w:hint="eastAsia" w:ascii="宋体" w:hAnsi="宋体" w:eastAsia="宋体" w:cs="宋体"/>
          <w:color w:val="auto"/>
          <w:sz w:val="20"/>
          <w:szCs w:val="20"/>
        </w:rPr>
        <w:t>备案后，方可发出。</w:t>
      </w:r>
    </w:p>
    <w:p>
      <w:pPr>
        <w:wordWrap w:val="0"/>
        <w:overflowPunct w:val="0"/>
        <w:spacing w:line="440" w:lineRule="exact"/>
        <w:ind w:firstLine="267" w:firstLineChars="133"/>
        <w:rPr>
          <w:rFonts w:hint="eastAsia" w:ascii="宋体" w:hAnsi="宋体" w:eastAsia="宋体" w:cs="宋体"/>
          <w:b/>
          <w:color w:val="auto"/>
          <w:sz w:val="20"/>
          <w:szCs w:val="20"/>
        </w:rPr>
      </w:pPr>
      <w:r>
        <w:rPr>
          <w:rFonts w:hint="eastAsia" w:ascii="宋体" w:hAnsi="宋体" w:eastAsia="宋体" w:cs="宋体"/>
          <w:b/>
          <w:color w:val="auto"/>
          <w:sz w:val="20"/>
          <w:szCs w:val="20"/>
        </w:rPr>
        <w:t>19. 样品</w:t>
      </w:r>
      <w:r>
        <w:rPr>
          <w:rFonts w:hint="eastAsia" w:ascii="宋体" w:hAnsi="宋体" w:eastAsia="宋体" w:cs="宋体"/>
          <w:b/>
          <w:color w:val="auto"/>
          <w:sz w:val="20"/>
          <w:szCs w:val="20"/>
          <w:highlight w:val="none"/>
        </w:rPr>
        <w:t>（本项目不采用）</w:t>
      </w:r>
    </w:p>
    <w:p>
      <w:pPr>
        <w:wordWrap w:val="0"/>
        <w:overflowPunct w:val="0"/>
        <w:spacing w:before="312" w:beforeLines="100" w:after="312" w:afterLines="100" w:line="440" w:lineRule="exact"/>
        <w:jc w:val="center"/>
        <w:rPr>
          <w:rFonts w:hint="eastAsia" w:ascii="宋体" w:hAnsi="宋体" w:eastAsia="宋体" w:cs="宋体"/>
          <w:b/>
          <w:color w:val="auto"/>
          <w:sz w:val="24"/>
          <w:szCs w:val="24"/>
        </w:rPr>
      </w:pPr>
      <w:bookmarkStart w:id="56" w:name="_Toc449028869"/>
      <w:r>
        <w:rPr>
          <w:rFonts w:hint="eastAsia" w:ascii="宋体" w:hAnsi="宋体" w:eastAsia="宋体" w:cs="宋体"/>
          <w:b/>
          <w:color w:val="auto"/>
          <w:sz w:val="24"/>
          <w:szCs w:val="24"/>
        </w:rPr>
        <w:t>（三）投标文件的编制</w:t>
      </w:r>
      <w:bookmarkEnd w:id="56"/>
    </w:p>
    <w:p>
      <w:pPr>
        <w:wordWrap w:val="0"/>
        <w:overflowPunct w:val="0"/>
        <w:spacing w:line="440" w:lineRule="exact"/>
        <w:ind w:firstLine="291" w:firstLineChars="145"/>
        <w:rPr>
          <w:rFonts w:hint="eastAsia" w:ascii="宋体" w:hAnsi="宋体" w:eastAsia="宋体" w:cs="宋体"/>
          <w:b/>
          <w:color w:val="auto"/>
          <w:sz w:val="20"/>
          <w:szCs w:val="20"/>
        </w:rPr>
      </w:pPr>
      <w:r>
        <w:rPr>
          <w:rFonts w:hint="eastAsia" w:ascii="宋体" w:hAnsi="宋体" w:eastAsia="宋体" w:cs="宋体"/>
          <w:b/>
          <w:color w:val="auto"/>
          <w:sz w:val="20"/>
          <w:szCs w:val="20"/>
        </w:rPr>
        <w:t>20. 投标的语言及度量衡单位</w:t>
      </w:r>
    </w:p>
    <w:p>
      <w:pPr>
        <w:wordWrap w:val="0"/>
        <w:overflowPunct w:val="0"/>
        <w:spacing w:line="440" w:lineRule="exact"/>
        <w:ind w:left="267" w:leftChars="127" w:firstLine="100" w:firstLineChars="50"/>
        <w:rPr>
          <w:rFonts w:hint="eastAsia" w:ascii="宋体" w:hAnsi="宋体" w:eastAsia="宋体" w:cs="宋体"/>
          <w:color w:val="auto"/>
          <w:sz w:val="20"/>
          <w:szCs w:val="20"/>
        </w:rPr>
      </w:pPr>
      <w:r>
        <w:rPr>
          <w:rFonts w:hint="eastAsia" w:ascii="宋体" w:hAnsi="宋体" w:eastAsia="宋体" w:cs="宋体"/>
          <w:color w:val="auto"/>
          <w:sz w:val="20"/>
          <w:szCs w:val="20"/>
        </w:rPr>
        <w:t>20.1投标人的投标文件、以及投标人与采购人就投标的所有往来函电，均须使用简体中文。</w:t>
      </w:r>
    </w:p>
    <w:p>
      <w:pPr>
        <w:wordWrap w:val="0"/>
        <w:overflowPunct w:val="0"/>
        <w:spacing w:line="440" w:lineRule="exact"/>
        <w:ind w:left="267" w:leftChars="127" w:firstLine="100" w:firstLineChars="50"/>
        <w:rPr>
          <w:rFonts w:hint="eastAsia" w:ascii="宋体" w:hAnsi="宋体" w:eastAsia="宋体" w:cs="宋体"/>
          <w:color w:val="auto"/>
          <w:sz w:val="20"/>
          <w:szCs w:val="20"/>
        </w:rPr>
      </w:pPr>
      <w:r>
        <w:rPr>
          <w:rFonts w:hint="eastAsia" w:ascii="宋体" w:hAnsi="宋体" w:eastAsia="宋体" w:cs="宋体"/>
          <w:color w:val="auto"/>
          <w:sz w:val="20"/>
          <w:szCs w:val="20"/>
        </w:rPr>
        <w:t>20.2除招标文件中另有规定外，投标文件所使用的度量衡均须采用法定计量单位。</w:t>
      </w:r>
    </w:p>
    <w:p>
      <w:pPr>
        <w:wordWrap w:val="0"/>
        <w:overflowPunct w:val="0"/>
        <w:spacing w:line="400" w:lineRule="exact"/>
        <w:ind w:firstLine="197" w:firstLineChars="98"/>
        <w:rPr>
          <w:rFonts w:hint="eastAsia" w:ascii="宋体" w:hAnsi="宋体" w:eastAsia="宋体" w:cs="宋体"/>
          <w:b/>
          <w:color w:val="auto"/>
          <w:sz w:val="20"/>
          <w:szCs w:val="20"/>
        </w:rPr>
      </w:pPr>
      <w:r>
        <w:rPr>
          <w:rFonts w:hint="eastAsia" w:ascii="宋体" w:hAnsi="宋体" w:eastAsia="宋体" w:cs="宋体"/>
          <w:b/>
          <w:color w:val="auto"/>
          <w:sz w:val="20"/>
          <w:szCs w:val="20"/>
        </w:rPr>
        <w:t>21. 投标文件的组成、上传说明</w:t>
      </w:r>
    </w:p>
    <w:p>
      <w:pPr>
        <w:wordWrap w:val="0"/>
        <w:overflowPunct w:val="0"/>
        <w:spacing w:line="400" w:lineRule="exact"/>
        <w:ind w:firstLine="402" w:firstLineChars="200"/>
        <w:rPr>
          <w:rFonts w:hint="eastAsia" w:ascii="宋体" w:hAnsi="宋体" w:eastAsia="宋体" w:cs="宋体"/>
          <w:color w:val="auto"/>
          <w:sz w:val="20"/>
          <w:szCs w:val="20"/>
        </w:rPr>
      </w:pPr>
      <w:r>
        <w:rPr>
          <w:rFonts w:hint="eastAsia" w:ascii="宋体" w:hAnsi="宋体" w:eastAsia="宋体" w:cs="宋体"/>
          <w:b/>
          <w:color w:val="auto"/>
          <w:sz w:val="20"/>
          <w:szCs w:val="20"/>
        </w:rPr>
        <w:t>21.1投标文件的组成</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投标文件由投标文件一（资信证明文件）</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投标文件</w:t>
      </w:r>
      <w:r>
        <w:rPr>
          <w:rFonts w:hint="eastAsia" w:ascii="宋体" w:hAnsi="宋体" w:eastAsia="宋体" w:cs="宋体"/>
          <w:color w:val="auto"/>
          <w:sz w:val="20"/>
          <w:szCs w:val="20"/>
          <w:lang w:eastAsia="zh-CN"/>
        </w:rPr>
        <w:t>二</w:t>
      </w:r>
      <w:r>
        <w:rPr>
          <w:rFonts w:hint="eastAsia" w:ascii="宋体" w:hAnsi="宋体" w:eastAsia="宋体" w:cs="宋体"/>
          <w:color w:val="auto"/>
          <w:sz w:val="20"/>
          <w:szCs w:val="20"/>
        </w:rPr>
        <w:t>（商务标）</w:t>
      </w:r>
      <w:r>
        <w:rPr>
          <w:rFonts w:hint="eastAsia" w:ascii="宋体" w:hAnsi="宋体" w:eastAsia="宋体" w:cs="宋体"/>
          <w:color w:val="auto"/>
          <w:sz w:val="20"/>
          <w:szCs w:val="20"/>
          <w:lang w:val="en-US" w:eastAsia="zh-CN"/>
        </w:rPr>
        <w:t>二</w:t>
      </w:r>
      <w:r>
        <w:rPr>
          <w:rFonts w:hint="eastAsia" w:ascii="宋体" w:hAnsi="宋体" w:eastAsia="宋体" w:cs="宋体"/>
          <w:color w:val="auto"/>
          <w:sz w:val="20"/>
          <w:szCs w:val="20"/>
        </w:rPr>
        <w:t>部分组成。具体内容详见第六章投标文件格式内容。</w:t>
      </w:r>
    </w:p>
    <w:p>
      <w:pPr>
        <w:wordWrap w:val="0"/>
        <w:overflowPunct w:val="0"/>
        <w:spacing w:line="400" w:lineRule="exact"/>
        <w:ind w:firstLine="402" w:firstLineChars="200"/>
        <w:rPr>
          <w:rFonts w:hint="eastAsia" w:ascii="宋体" w:hAnsi="宋体" w:eastAsia="宋体" w:cs="宋体"/>
          <w:b/>
          <w:color w:val="auto"/>
          <w:sz w:val="20"/>
          <w:szCs w:val="20"/>
          <w:lang w:val="en-US" w:eastAsia="zh-CN"/>
        </w:rPr>
      </w:pPr>
      <w:r>
        <w:rPr>
          <w:rFonts w:hint="eastAsia" w:ascii="宋体" w:hAnsi="宋体" w:eastAsia="宋体" w:cs="宋体"/>
          <w:b/>
          <w:color w:val="auto"/>
          <w:sz w:val="20"/>
          <w:szCs w:val="20"/>
        </w:rPr>
        <w:t>21.2投标文件的上传</w:t>
      </w:r>
      <w:r>
        <w:rPr>
          <w:rFonts w:hint="eastAsia" w:ascii="宋体" w:hAnsi="宋体" w:eastAsia="宋体" w:cs="宋体"/>
          <w:b/>
          <w:color w:val="auto"/>
          <w:sz w:val="20"/>
          <w:szCs w:val="20"/>
          <w:lang w:val="en-US" w:eastAsia="zh-CN"/>
        </w:rPr>
        <w:t>(本项目不采用）</w:t>
      </w:r>
    </w:p>
    <w:p>
      <w:pPr>
        <w:wordWrap w:val="0"/>
        <w:overflowPunct w:val="0"/>
        <w:spacing w:line="42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21.3投标文件的编制</w:t>
      </w:r>
    </w:p>
    <w:p>
      <w:pPr>
        <w:wordWrap w:val="0"/>
        <w:overflowPunct w:val="0"/>
        <w:spacing w:line="42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（1）投标文件应按第六章“投标文件格式”进行编写，如有必要，可以增加附页，作为投标文件的组成部分。</w:t>
      </w:r>
    </w:p>
    <w:p>
      <w:pPr>
        <w:wordWrap w:val="0"/>
        <w:overflowPunct w:val="0"/>
        <w:spacing w:line="42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（2）本次招标投标需要提供纸质投标文件，投标人应按照招标投标的要求，</w:t>
      </w:r>
      <w:r>
        <w:rPr>
          <w:rFonts w:hint="eastAsia" w:ascii="宋体" w:hAnsi="宋体" w:eastAsia="宋体" w:cs="宋体"/>
          <w:color w:val="auto"/>
          <w:sz w:val="20"/>
          <w:szCs w:val="20"/>
          <w:lang w:val="en-US" w:eastAsia="zh-CN"/>
        </w:rPr>
        <w:t>递交</w:t>
      </w:r>
      <w:r>
        <w:rPr>
          <w:rFonts w:hint="eastAsia" w:ascii="宋体" w:hAnsi="宋体" w:eastAsia="宋体" w:cs="宋体"/>
          <w:color w:val="auto"/>
          <w:sz w:val="20"/>
          <w:szCs w:val="20"/>
        </w:rPr>
        <w:t>投标文件。</w:t>
      </w:r>
    </w:p>
    <w:p>
      <w:pPr>
        <w:wordWrap w:val="0"/>
        <w:overflowPunct w:val="0"/>
        <w:spacing w:line="380" w:lineRule="exact"/>
        <w:ind w:firstLine="404" w:firstLineChars="202"/>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）递交的投标文件应按招标文件规定的格式由投标人的法定代表人和投标人分别</w:t>
      </w:r>
      <w:r>
        <w:rPr>
          <w:rFonts w:hint="eastAsia" w:ascii="宋体" w:hAnsi="宋体" w:eastAsia="宋体" w:cs="宋体"/>
          <w:color w:val="auto"/>
          <w:sz w:val="20"/>
          <w:szCs w:val="20"/>
          <w:lang w:val="en-US" w:eastAsia="zh-CN"/>
        </w:rPr>
        <w:t>盖</w:t>
      </w:r>
      <w:r>
        <w:rPr>
          <w:rFonts w:hint="eastAsia" w:ascii="宋体" w:hAnsi="宋体" w:eastAsia="宋体" w:cs="宋体"/>
          <w:color w:val="auto"/>
          <w:sz w:val="20"/>
          <w:szCs w:val="20"/>
        </w:rPr>
        <w:t>章。</w:t>
      </w:r>
    </w:p>
    <w:p>
      <w:pPr>
        <w:wordWrap w:val="0"/>
        <w:overflowPunct w:val="0"/>
        <w:spacing w:line="440" w:lineRule="exact"/>
        <w:ind w:firstLine="402" w:firstLineChars="200"/>
        <w:rPr>
          <w:rFonts w:hint="eastAsia" w:ascii="宋体" w:hAnsi="宋体" w:eastAsia="宋体" w:cs="宋体"/>
          <w:color w:val="auto"/>
          <w:sz w:val="20"/>
          <w:szCs w:val="20"/>
        </w:rPr>
      </w:pPr>
      <w:r>
        <w:rPr>
          <w:rFonts w:hint="eastAsia" w:ascii="宋体" w:hAnsi="宋体" w:eastAsia="宋体" w:cs="宋体"/>
          <w:b/>
          <w:color w:val="auto"/>
          <w:sz w:val="20"/>
          <w:szCs w:val="20"/>
        </w:rPr>
        <w:t>22</w:t>
      </w:r>
      <w:r>
        <w:rPr>
          <w:rFonts w:hint="eastAsia" w:ascii="宋体" w:hAnsi="宋体" w:eastAsia="宋体" w:cs="宋体"/>
          <w:color w:val="auto"/>
          <w:sz w:val="20"/>
          <w:szCs w:val="20"/>
        </w:rPr>
        <w:t>.</w:t>
      </w:r>
      <w:r>
        <w:rPr>
          <w:rFonts w:hint="eastAsia" w:ascii="宋体" w:hAnsi="宋体" w:eastAsia="宋体" w:cs="宋体"/>
          <w:b/>
          <w:color w:val="auto"/>
          <w:sz w:val="20"/>
          <w:szCs w:val="20"/>
        </w:rPr>
        <w:t>投标报价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22.1投标报价文件中的单价和总价全部采用人民币表示。投标人的报价应含有服务（货物）、利润、税金、政策性文件规定及合同包含的所有风险、责任、义务等，即为完成招标文件要求的服务（货物）内容所包含的一切应有费用，采购人后期不再追加费用，投标供应商自行考虑投标风险。</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22.2投标报价表上应清楚地标明投标人拟提供货物的名称、型号、生产厂家、数量、单价和总价。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22.3投标人只允许有一个方案、一个报价。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22.4投标人应按“</w:t>
      </w:r>
      <w:r>
        <w:rPr>
          <w:rFonts w:hint="eastAsia" w:ascii="宋体" w:hAnsi="宋体" w:eastAsia="宋体" w:cs="宋体"/>
          <w:color w:val="auto"/>
          <w:sz w:val="20"/>
          <w:szCs w:val="20"/>
          <w:lang w:eastAsia="zh-CN"/>
        </w:rPr>
        <w:t>采购内容及服务要求</w:t>
      </w:r>
      <w:r>
        <w:rPr>
          <w:rFonts w:hint="eastAsia" w:ascii="宋体" w:hAnsi="宋体" w:eastAsia="宋体" w:cs="宋体"/>
          <w:color w:val="auto"/>
          <w:sz w:val="20"/>
          <w:szCs w:val="20"/>
        </w:rPr>
        <w:t>”所列货物（服务）逐项进行单价报价，并最终按货物（服务）总量乘以货物（服务）单价报总价。综合单价包括：</w:t>
      </w:r>
      <w:r>
        <w:rPr>
          <w:rFonts w:hint="eastAsia" w:ascii="宋体" w:hAnsi="宋体" w:eastAsia="宋体" w:cs="宋体"/>
          <w:color w:val="auto"/>
          <w:sz w:val="20"/>
          <w:szCs w:val="20"/>
          <w:u w:val="single"/>
        </w:rPr>
        <w:t xml:space="preserve"> 设备费、人工费、材料费、辅材费、运输费、管理费、利润、风险费用、服装费</w:t>
      </w:r>
      <w:r>
        <w:rPr>
          <w:rFonts w:hint="eastAsia" w:ascii="宋体" w:hAnsi="宋体" w:eastAsia="宋体" w:cs="宋体"/>
          <w:color w:val="auto"/>
          <w:sz w:val="20"/>
          <w:szCs w:val="20"/>
          <w:u w:val="single"/>
          <w:lang w:eastAsia="zh-CN"/>
        </w:rPr>
        <w:t>、办公费、</w:t>
      </w:r>
      <w:r>
        <w:rPr>
          <w:rFonts w:hint="eastAsia" w:ascii="宋体" w:hAnsi="宋体" w:eastAsia="宋体" w:cs="宋体"/>
          <w:color w:val="auto"/>
          <w:sz w:val="20"/>
          <w:szCs w:val="20"/>
          <w:u w:val="single"/>
        </w:rPr>
        <w:t xml:space="preserve">代理费、专家评审费、验收费用及后期服务 </w:t>
      </w:r>
      <w:r>
        <w:rPr>
          <w:rFonts w:hint="eastAsia" w:ascii="宋体" w:hAnsi="宋体" w:eastAsia="宋体" w:cs="宋体"/>
          <w:color w:val="auto"/>
          <w:sz w:val="20"/>
          <w:szCs w:val="20"/>
        </w:rPr>
        <w:t>及国家对中标单位征收的各种税费等所有一切费用，综合单价今后将不作任何调整。投标人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甲方的单价进行认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22.5投标报价的价格是完成项目全部内容（包括后期的相关服务）交付验收的价格，其总价即为履行合同的</w:t>
      </w:r>
      <w:r>
        <w:rPr>
          <w:rFonts w:hint="eastAsia" w:ascii="宋体" w:hAnsi="宋体" w:eastAsia="宋体" w:cs="宋体"/>
          <w:color w:val="auto"/>
          <w:sz w:val="20"/>
          <w:szCs w:val="20"/>
          <w:lang w:eastAsia="zh-CN"/>
        </w:rPr>
        <w:t>价格</w:t>
      </w:r>
      <w:r>
        <w:rPr>
          <w:rFonts w:hint="eastAsia" w:ascii="宋体" w:hAnsi="宋体" w:eastAsia="宋体" w:cs="宋体"/>
          <w:color w:val="auto"/>
          <w:sz w:val="20"/>
          <w:szCs w:val="20"/>
        </w:rPr>
        <w:t>。</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22.6技术要求中规定的安装、调试和培训费用应包括在投标价格中。投标文件报价为含税价，采购人不再为此次招标支付任何费用。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22.7投标报价应由法定代表人或被授权人签署。</w:t>
      </w:r>
    </w:p>
    <w:p>
      <w:pPr>
        <w:wordWrap w:val="0"/>
        <w:overflowPunct w:val="0"/>
        <w:spacing w:line="440" w:lineRule="exact"/>
        <w:ind w:firstLine="400" w:firstLineChars="200"/>
        <w:rPr>
          <w:rFonts w:hint="eastAsia" w:ascii="宋体" w:hAnsi="宋体" w:eastAsia="宋体" w:cs="宋体"/>
          <w:color w:val="auto"/>
          <w:sz w:val="20"/>
          <w:szCs w:val="20"/>
          <w:highlight w:val="yellow"/>
        </w:rPr>
      </w:pPr>
      <w:r>
        <w:rPr>
          <w:rFonts w:hint="eastAsia" w:ascii="宋体" w:hAnsi="宋体" w:eastAsia="宋体" w:cs="宋体"/>
          <w:bCs/>
          <w:color w:val="auto"/>
          <w:sz w:val="20"/>
          <w:szCs w:val="20"/>
        </w:rPr>
        <w:t>22.8投标人的报价不得高于本次招标最高限价或综合单价最高限价，否则将作为无效投标处理</w:t>
      </w:r>
      <w:r>
        <w:rPr>
          <w:rFonts w:hint="eastAsia" w:ascii="宋体" w:hAnsi="宋体" w:eastAsia="宋体" w:cs="宋体"/>
          <w:color w:val="auto"/>
          <w:sz w:val="20"/>
          <w:szCs w:val="20"/>
        </w:rPr>
        <w:t>。</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22.9如投标文件中未列明全面实现投标货物功能而必须配置的配套或辅助设施及相应技术措施的费用，这些费用将被视为已包含在总投标价中。</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22.10总投标价中不得包含招标文件要求以外的内容，否则，在评标时不予核减，但在授予合同时，采购人有权将这部分价格从其中标价格中扣除。</w:t>
      </w:r>
    </w:p>
    <w:p>
      <w:pPr>
        <w:wordWrap w:val="0"/>
        <w:overflowPunct w:val="0"/>
        <w:spacing w:line="440" w:lineRule="exact"/>
        <w:ind w:firstLine="384" w:firstLineChars="192"/>
        <w:rPr>
          <w:rFonts w:hint="eastAsia" w:ascii="宋体" w:hAnsi="宋体" w:eastAsia="宋体" w:cs="宋体"/>
          <w:color w:val="auto"/>
          <w:sz w:val="20"/>
          <w:szCs w:val="20"/>
        </w:rPr>
      </w:pPr>
      <w:r>
        <w:rPr>
          <w:rFonts w:hint="eastAsia" w:ascii="宋体" w:hAnsi="宋体" w:eastAsia="宋体" w:cs="宋体"/>
          <w:color w:val="auto"/>
          <w:sz w:val="20"/>
          <w:szCs w:val="20"/>
        </w:rPr>
        <w:t>22.11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pPr>
        <w:wordWrap w:val="0"/>
        <w:overflowPunct w:val="0"/>
        <w:spacing w:line="440" w:lineRule="exact"/>
        <w:ind w:firstLine="384" w:firstLineChars="192"/>
        <w:rPr>
          <w:rFonts w:hint="eastAsia" w:ascii="宋体" w:hAnsi="宋体" w:eastAsia="宋体" w:cs="宋体"/>
          <w:color w:val="auto"/>
          <w:sz w:val="20"/>
          <w:szCs w:val="20"/>
        </w:rPr>
      </w:pPr>
      <w:r>
        <w:rPr>
          <w:rFonts w:hint="eastAsia" w:ascii="宋体" w:hAnsi="宋体" w:eastAsia="宋体" w:cs="宋体"/>
          <w:color w:val="auto"/>
          <w:sz w:val="20"/>
          <w:szCs w:val="20"/>
        </w:rPr>
        <w:t>22.12投标人不得对从第三方采购货物的随机备品、备件另行收费，否则在计算评标价时这部分费用将不予扣除，在授予合同时将从中标价格中扣除该部分费用。</w:t>
      </w:r>
    </w:p>
    <w:p>
      <w:pPr>
        <w:wordWrap w:val="0"/>
        <w:overflowPunct w:val="0"/>
        <w:spacing w:line="440" w:lineRule="exact"/>
        <w:ind w:firstLine="384" w:firstLineChars="192"/>
        <w:rPr>
          <w:rFonts w:hint="eastAsia" w:ascii="宋体" w:hAnsi="宋体" w:eastAsia="宋体" w:cs="宋体"/>
          <w:color w:val="auto"/>
          <w:sz w:val="20"/>
          <w:szCs w:val="20"/>
        </w:rPr>
      </w:pPr>
      <w:r>
        <w:rPr>
          <w:rFonts w:hint="eastAsia" w:ascii="宋体" w:hAnsi="宋体" w:eastAsia="宋体" w:cs="宋体"/>
          <w:color w:val="auto"/>
          <w:sz w:val="20"/>
          <w:szCs w:val="20"/>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采购人均无需为维护维修保养所需的专用工具和备品备件另行支付费用。</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23. 投标有效期</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23.1 除投标人须知前附表另有规定外，投标有效期为60天。</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23.2在投标有效期内，投标人撤销或修改其投标文件的，应承担招标文件和法律规定的责任。</w:t>
      </w:r>
    </w:p>
    <w:p>
      <w:pPr>
        <w:wordWrap w:val="0"/>
        <w:overflowPunct w:val="0"/>
        <w:spacing w:line="440" w:lineRule="exact"/>
        <w:ind w:firstLine="400" w:firstLineChars="200"/>
        <w:rPr>
          <w:rFonts w:hint="eastAsia" w:ascii="宋体" w:hAnsi="宋体" w:eastAsia="宋体" w:cs="宋体"/>
          <w:color w:val="auto"/>
          <w:sz w:val="20"/>
          <w:szCs w:val="20"/>
          <w:lang w:eastAsia="zh-CN"/>
        </w:rPr>
      </w:pPr>
      <w:r>
        <w:rPr>
          <w:rFonts w:hint="eastAsia" w:ascii="宋体" w:hAnsi="宋体" w:eastAsia="宋体" w:cs="宋体"/>
          <w:color w:val="auto"/>
          <w:sz w:val="20"/>
          <w:szCs w:val="20"/>
        </w:rPr>
        <w:t>23.3出现特殊情况需要延长投标有效期的，采购人以书面形式通知所有投标人延长投标有效期。</w:t>
      </w:r>
    </w:p>
    <w:p>
      <w:pPr>
        <w:wordWrap w:val="0"/>
        <w:overflowPunct w:val="0"/>
        <w:spacing w:line="440" w:lineRule="exact"/>
        <w:ind w:firstLine="386" w:firstLineChars="192"/>
        <w:rPr>
          <w:rFonts w:hint="eastAsia" w:ascii="宋体" w:hAnsi="宋体" w:eastAsia="宋体" w:cs="宋体"/>
          <w:color w:val="auto"/>
          <w:sz w:val="20"/>
          <w:szCs w:val="20"/>
        </w:rPr>
      </w:pPr>
      <w:r>
        <w:rPr>
          <w:rFonts w:hint="eastAsia" w:ascii="宋体" w:hAnsi="宋体" w:eastAsia="宋体" w:cs="宋体"/>
          <w:b/>
          <w:color w:val="auto"/>
          <w:sz w:val="20"/>
          <w:szCs w:val="20"/>
        </w:rPr>
        <w:t>24. 投标保证金（本项目不采用）</w:t>
      </w:r>
    </w:p>
    <w:p>
      <w:pPr>
        <w:rPr>
          <w:rFonts w:hint="eastAsia" w:ascii="宋体" w:hAnsi="宋体" w:eastAsia="宋体" w:cs="宋体"/>
          <w:color w:val="auto"/>
          <w:sz w:val="24"/>
          <w:szCs w:val="24"/>
        </w:rPr>
      </w:pPr>
      <w:bookmarkStart w:id="57" w:name="_Toc449028870"/>
      <w:r>
        <w:rPr>
          <w:rFonts w:hint="eastAsia" w:ascii="宋体" w:hAnsi="宋体" w:eastAsia="宋体" w:cs="宋体"/>
          <w:color w:val="auto"/>
          <w:sz w:val="24"/>
          <w:szCs w:val="24"/>
        </w:rPr>
        <w:br w:type="page"/>
      </w:r>
    </w:p>
    <w:p>
      <w:pPr>
        <w:wordWrap w:val="0"/>
        <w:overflowPunct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（四）投标文件的递交</w:t>
      </w:r>
      <w:bookmarkEnd w:id="57"/>
    </w:p>
    <w:p>
      <w:pPr>
        <w:spacing w:line="360" w:lineRule="auto"/>
        <w:ind w:left="12" w:right="-94" w:rightChars="-45" w:hanging="11" w:hangingChars="5"/>
        <w:rPr>
          <w:rFonts w:hint="eastAsia" w:ascii="宋体" w:hAnsi="宋体" w:cs="宋体"/>
          <w:sz w:val="22"/>
          <w:szCs w:val="18"/>
        </w:rPr>
      </w:pPr>
      <w:bookmarkStart w:id="58" w:name="_Toc449028871"/>
      <w:r>
        <w:rPr>
          <w:rFonts w:hint="eastAsia" w:ascii="宋体" w:hAnsi="宋体" w:cs="宋体"/>
          <w:sz w:val="22"/>
          <w:szCs w:val="18"/>
          <w:lang w:val="en-US" w:eastAsia="zh-CN"/>
        </w:rPr>
        <w:t>25</w:t>
      </w:r>
      <w:r>
        <w:rPr>
          <w:rFonts w:hint="eastAsia" w:ascii="宋体" w:hAnsi="宋体" w:cs="宋体"/>
          <w:sz w:val="22"/>
          <w:szCs w:val="18"/>
        </w:rPr>
        <w:t>.投标文件的份数和编制</w:t>
      </w:r>
    </w:p>
    <w:p>
      <w:pPr>
        <w:spacing w:line="360" w:lineRule="auto"/>
        <w:ind w:left="12" w:right="-94" w:rightChars="-45" w:hanging="11" w:hangingChars="5"/>
        <w:jc w:val="left"/>
        <w:rPr>
          <w:rFonts w:hint="eastAsia" w:ascii="宋体" w:hAnsi="宋体" w:cs="宋体"/>
          <w:kern w:val="0"/>
          <w:sz w:val="22"/>
          <w:szCs w:val="18"/>
        </w:rPr>
      </w:pPr>
      <w:r>
        <w:rPr>
          <w:rFonts w:hint="eastAsia" w:ascii="宋体" w:hAnsi="宋体" w:cs="宋体"/>
          <w:sz w:val="22"/>
          <w:szCs w:val="18"/>
          <w:lang w:val="en-US" w:eastAsia="zh-CN"/>
        </w:rPr>
        <w:t>25</w:t>
      </w:r>
      <w:r>
        <w:rPr>
          <w:rFonts w:hint="eastAsia" w:ascii="宋体" w:hAnsi="宋体" w:cs="宋体"/>
          <w:sz w:val="22"/>
          <w:szCs w:val="18"/>
        </w:rPr>
        <w:t>.1投标文件一式三份，正本一份，副本二份。</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25</w:t>
      </w:r>
      <w:r>
        <w:rPr>
          <w:rFonts w:hint="eastAsia" w:ascii="宋体" w:hAnsi="宋体" w:cs="宋体"/>
          <w:sz w:val="22"/>
          <w:szCs w:val="18"/>
        </w:rPr>
        <w:t>.2投标文件的正本和副本均需打印或使用不褪色的蓝、黑墨水笔书写，字迹应清晰易于辩认，并应在投标文件封面的右上角清楚地注明“正本”或“副本”。正本和副本如有不一致之处，以正本为准。</w:t>
      </w:r>
    </w:p>
    <w:p>
      <w:pPr>
        <w:spacing w:line="360" w:lineRule="auto"/>
        <w:ind w:left="12" w:right="-94" w:rightChars="-45" w:hanging="11" w:hangingChars="5"/>
        <w:jc w:val="left"/>
        <w:rPr>
          <w:rFonts w:hint="eastAsia" w:ascii="宋体" w:hAnsi="宋体" w:cs="宋体"/>
          <w:spacing w:val="-4"/>
          <w:sz w:val="22"/>
          <w:szCs w:val="18"/>
        </w:rPr>
      </w:pPr>
      <w:r>
        <w:rPr>
          <w:rFonts w:hint="eastAsia" w:ascii="宋体" w:hAnsi="宋体" w:cs="宋体"/>
          <w:sz w:val="22"/>
          <w:szCs w:val="18"/>
          <w:lang w:val="en-US" w:eastAsia="zh-CN"/>
        </w:rPr>
        <w:t>25</w:t>
      </w:r>
      <w:r>
        <w:rPr>
          <w:rFonts w:hint="eastAsia" w:ascii="宋体" w:hAnsi="宋体" w:cs="宋体"/>
          <w:sz w:val="22"/>
          <w:szCs w:val="18"/>
        </w:rPr>
        <w:t>.3投标文件中的证明材料应当在格式文本要求的相应位置签字和盖章，否则，投标文件作无效投标处理。</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26</w:t>
      </w:r>
      <w:r>
        <w:rPr>
          <w:rFonts w:hint="eastAsia" w:ascii="宋体" w:hAnsi="宋体" w:cs="宋体"/>
          <w:sz w:val="22"/>
          <w:szCs w:val="18"/>
        </w:rPr>
        <w:t>.</w:t>
      </w:r>
      <w:r>
        <w:rPr>
          <w:rFonts w:hint="eastAsia" w:ascii="宋体" w:hAnsi="宋体" w:cs="宋体"/>
          <w:sz w:val="22"/>
          <w:szCs w:val="18"/>
          <w:lang w:val="en-US" w:eastAsia="zh-CN"/>
        </w:rPr>
        <w:t>1</w:t>
      </w:r>
      <w:r>
        <w:rPr>
          <w:rFonts w:hint="eastAsia" w:ascii="宋体" w:hAnsi="宋体" w:cs="宋体"/>
          <w:sz w:val="22"/>
          <w:szCs w:val="18"/>
        </w:rPr>
        <w:t>投标文件的密封</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26</w:t>
      </w:r>
      <w:r>
        <w:rPr>
          <w:rFonts w:hint="eastAsia" w:ascii="宋体" w:hAnsi="宋体" w:cs="宋体"/>
          <w:sz w:val="22"/>
          <w:szCs w:val="18"/>
        </w:rPr>
        <w:t>.2.投标人应当将投标文件正本、副本密封在投标文件袋内。</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27</w:t>
      </w:r>
      <w:r>
        <w:rPr>
          <w:rFonts w:hint="eastAsia" w:ascii="宋体" w:hAnsi="宋体" w:cs="宋体"/>
          <w:sz w:val="22"/>
          <w:szCs w:val="18"/>
        </w:rPr>
        <w:t>.</w:t>
      </w:r>
      <w:r>
        <w:rPr>
          <w:rFonts w:hint="eastAsia" w:ascii="宋体" w:hAnsi="宋体" w:cs="宋体"/>
          <w:sz w:val="22"/>
          <w:szCs w:val="18"/>
          <w:lang w:val="en-US" w:eastAsia="zh-CN"/>
        </w:rPr>
        <w:t>1</w:t>
      </w:r>
      <w:r>
        <w:rPr>
          <w:rFonts w:hint="eastAsia" w:ascii="宋体" w:hAnsi="宋体" w:cs="宋体"/>
          <w:sz w:val="22"/>
          <w:szCs w:val="18"/>
        </w:rPr>
        <w:t>投标文件密封袋的标记</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27</w:t>
      </w:r>
      <w:r>
        <w:rPr>
          <w:rFonts w:hint="eastAsia" w:ascii="宋体" w:hAnsi="宋体" w:cs="宋体"/>
          <w:sz w:val="22"/>
          <w:szCs w:val="18"/>
        </w:rPr>
        <w:t>.</w:t>
      </w:r>
      <w:r>
        <w:rPr>
          <w:rFonts w:hint="eastAsia" w:ascii="宋体" w:hAnsi="宋体" w:cs="宋体"/>
          <w:sz w:val="22"/>
          <w:szCs w:val="18"/>
          <w:lang w:val="en-US" w:eastAsia="zh-CN"/>
        </w:rPr>
        <w:t>2</w:t>
      </w:r>
      <w:r>
        <w:rPr>
          <w:rFonts w:hint="eastAsia" w:ascii="宋体" w:hAnsi="宋体" w:cs="宋体"/>
          <w:sz w:val="22"/>
          <w:szCs w:val="18"/>
        </w:rPr>
        <w:t>在投标文件密封袋上应写明投标人名称和地址、邮政编码。注明下列识别标志：招标项目名称。</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27</w:t>
      </w:r>
      <w:r>
        <w:rPr>
          <w:rFonts w:hint="eastAsia" w:ascii="宋体" w:hAnsi="宋体" w:cs="宋体"/>
          <w:sz w:val="22"/>
          <w:szCs w:val="18"/>
        </w:rPr>
        <w:t>.3所有投标文件的密封袋应加盖投标人印章；否则，该投标文件将被拒绝。</w:t>
      </w:r>
    </w:p>
    <w:p>
      <w:pPr>
        <w:wordWrap w:val="0"/>
        <w:overflowPunct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（五）开标、评标和定标</w:t>
      </w:r>
      <w:bookmarkEnd w:id="58"/>
    </w:p>
    <w:p>
      <w:pPr>
        <w:wordWrap w:val="0"/>
        <w:overflowPunct w:val="0"/>
        <w:spacing w:line="440" w:lineRule="exac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 28. 开标</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28.1  开标的时间和地点</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28.1.1采购人按本须知第26条提交投标文件的截止时间和地点公开开标，并邀请所有投标人参加。</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28.2  参与开标的监督部门</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28.2.1</w:t>
      </w:r>
      <w:r>
        <w:rPr>
          <w:rFonts w:hint="eastAsia" w:ascii="宋体" w:hAnsi="宋体" w:eastAsia="宋体" w:cs="宋体"/>
          <w:color w:val="auto"/>
          <w:sz w:val="20"/>
          <w:szCs w:val="22"/>
        </w:rPr>
        <w:t>采购人可以邀请相关监管部门参加</w:t>
      </w:r>
      <w:r>
        <w:rPr>
          <w:rFonts w:hint="eastAsia" w:ascii="宋体" w:hAnsi="宋体" w:eastAsia="宋体" w:cs="宋体"/>
          <w:color w:val="auto"/>
          <w:sz w:val="20"/>
          <w:szCs w:val="20"/>
        </w:rPr>
        <w:t>。</w:t>
      </w:r>
    </w:p>
    <w:p>
      <w:pPr>
        <w:wordWrap w:val="0"/>
        <w:overflowPunct w:val="0"/>
        <w:adjustRightInd w:val="0"/>
        <w:snapToGrid w:val="0"/>
        <w:spacing w:line="44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28.3开标程序</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开标会议由采购代理机构主持。</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（1）宣布开标纪律；</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（2）宣布采购人、代理机构主持人、见证人等有关人员姓名；</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（3）公布投标截止时间前，递交投标文件的投标人名称等； </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）公布投标人投标报价、质量目标、供货期及其他内容，并记录在案；</w:t>
      </w:r>
    </w:p>
    <w:p>
      <w:pPr>
        <w:wordWrap w:val="0"/>
        <w:overflowPunct w:val="0"/>
        <w:spacing w:line="38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）开标结束。</w:t>
      </w:r>
    </w:p>
    <w:p>
      <w:pPr>
        <w:wordWrap w:val="0"/>
        <w:overflowPunct w:val="0"/>
        <w:spacing w:line="380" w:lineRule="exact"/>
        <w:ind w:right="-155" w:rightChars="-74"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多标包项目按照标包顺序按以上程序依次开标。</w:t>
      </w:r>
    </w:p>
    <w:p>
      <w:pPr>
        <w:wordWrap w:val="0"/>
        <w:overflowPunct w:val="0"/>
        <w:spacing w:line="440" w:lineRule="exact"/>
        <w:ind w:right="-155" w:rightChars="-74"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 28.4开标质疑</w:t>
      </w:r>
    </w:p>
    <w:p>
      <w:pPr>
        <w:wordWrap w:val="0"/>
        <w:overflowPunct w:val="0"/>
        <w:spacing w:line="440" w:lineRule="exact"/>
        <w:ind w:right="-155" w:rightChars="-74" w:firstLine="200" w:firstLineChars="10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投标人对开标有质疑的，应当在开标现场提出，采购人当场作出答复，并制作记录</w:t>
      </w:r>
      <w:r>
        <w:rPr>
          <w:rFonts w:hint="eastAsia" w:ascii="宋体" w:hAnsi="宋体" w:eastAsia="宋体" w:cs="宋体"/>
          <w:color w:val="auto"/>
          <w:sz w:val="20"/>
          <w:szCs w:val="20"/>
          <w:lang w:val="en-US" w:eastAsia="zh-CN"/>
        </w:rPr>
        <w:t>.</w:t>
      </w:r>
    </w:p>
    <w:p>
      <w:pPr>
        <w:wordWrap w:val="0"/>
        <w:overflowPunct w:val="0"/>
        <w:spacing w:line="440" w:lineRule="exact"/>
        <w:ind w:firstLine="421"/>
        <w:jc w:val="left"/>
        <w:rPr>
          <w:rFonts w:hint="eastAsia" w:ascii="宋体" w:hAnsi="宋体" w:eastAsia="宋体" w:cs="宋体"/>
          <w:b/>
          <w:color w:val="auto"/>
          <w:sz w:val="20"/>
          <w:szCs w:val="20"/>
        </w:rPr>
      </w:pPr>
      <w:r>
        <w:rPr>
          <w:rFonts w:hint="eastAsia" w:ascii="宋体" w:hAnsi="宋体" w:eastAsia="宋体" w:cs="宋体"/>
          <w:b/>
          <w:color w:val="auto"/>
          <w:sz w:val="20"/>
          <w:szCs w:val="20"/>
        </w:rPr>
        <w:t>29.评标委员会</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29.1  评标委员会的组成</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29.1.1评标由采购人依法组建的评标委员会负责。</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29.1.2评标委员会负责人依法推荐或确定。</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29.2  评标委员会成员名单在中标结果确定前应当保密。</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29.3  评标委员会成员有下述情形的，应当主动提出回避：</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(一)参加采购活动近三年内,与供应商存在劳动关系,或者担任过供应商的董事、监事,或者是供应商的控股股东或实际控制人;</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(二)与供应商的法定代表人或者负责人有夫妻、直系血亲、三代以内旁系血亲或者近姻亲关系;</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(三)与供应商有其他可能影响政府采购活动公平、公正进行的关系。</w:t>
      </w:r>
    </w:p>
    <w:p>
      <w:pPr>
        <w:wordWrap w:val="0"/>
        <w:overflowPunct w:val="0"/>
        <w:spacing w:line="44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评审专家发现本人与参加采购活动的供应商有利害关系的,应当主动提出回避。采购人或者采购代理机构发现评审专家与参加采购活动的供应商有利害关系的,应当要求其回避。</w:t>
      </w:r>
    </w:p>
    <w:p>
      <w:pPr>
        <w:wordWrap w:val="0"/>
        <w:overflowPunct w:val="0"/>
        <w:spacing w:line="44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除《政府采购评审专家管理办法》第十三条规定的情形外,评审专家对本单位的政府采购项目只能作为采购人代表参与评审活动。各级财政部门政府采购监督管理工作人员,不得作为评审专家参与政府采购项目的评审活动。</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29.4  评标委员会应当向采购人提出书面评标报告，并抄送有关行政监督部门。评标报告应当如实记载以下内容：</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（1）基本情况和数据表；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（2）评标委员会成员名单；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（3）开标记录；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（4）符合要求的投标人一览表；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（5）无效情况说明；</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（6）评标标准、评标方法或者评标因素一览表；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（7）经评审的价格或者评分比较一览表；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（8）投标人串标、围标等违规行为的确认报告；</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（9）经评审的投标人排序；</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（10）推荐的中标候选人名单；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（11）澄清、说明、补正事项纪要。</w:t>
      </w:r>
    </w:p>
    <w:p>
      <w:pPr>
        <w:tabs>
          <w:tab w:val="left" w:pos="720"/>
        </w:tabs>
        <w:wordWrap w:val="0"/>
        <w:overflowPunct w:val="0"/>
        <w:spacing w:line="440" w:lineRule="exact"/>
        <w:ind w:firstLine="201" w:firstLineChars="100"/>
        <w:jc w:val="left"/>
        <w:rPr>
          <w:rFonts w:hint="eastAsia" w:ascii="宋体" w:hAnsi="宋体" w:eastAsia="宋体" w:cs="宋体"/>
          <w:b/>
          <w:bCs/>
          <w:color w:val="auto"/>
          <w:sz w:val="20"/>
          <w:szCs w:val="20"/>
        </w:rPr>
      </w:pPr>
      <w:r>
        <w:rPr>
          <w:rFonts w:hint="eastAsia" w:ascii="宋体" w:hAnsi="宋体" w:eastAsia="宋体" w:cs="宋体"/>
          <w:b/>
          <w:bCs/>
          <w:color w:val="auto"/>
          <w:sz w:val="20"/>
          <w:szCs w:val="20"/>
        </w:rPr>
        <w:t>29.5 采购人授权评标委员会对投标人资格进行审查。</w:t>
      </w:r>
    </w:p>
    <w:p>
      <w:pPr>
        <w:tabs>
          <w:tab w:val="left" w:pos="720"/>
        </w:tabs>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29.6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pPr>
        <w:wordWrap w:val="0"/>
        <w:overflowPunct w:val="0"/>
        <w:spacing w:line="440" w:lineRule="exact"/>
        <w:ind w:firstLine="197" w:firstLineChars="98"/>
        <w:jc w:val="left"/>
        <w:rPr>
          <w:rFonts w:hint="eastAsia" w:ascii="宋体" w:hAnsi="宋体" w:eastAsia="宋体" w:cs="宋体"/>
          <w:b/>
          <w:color w:val="auto"/>
          <w:sz w:val="20"/>
          <w:szCs w:val="20"/>
        </w:rPr>
      </w:pPr>
      <w:r>
        <w:rPr>
          <w:rFonts w:hint="eastAsia" w:ascii="宋体" w:hAnsi="宋体" w:eastAsia="宋体" w:cs="宋体"/>
          <w:b/>
          <w:color w:val="auto"/>
          <w:sz w:val="20"/>
          <w:szCs w:val="20"/>
        </w:rPr>
        <w:t>31. 评标</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  评标准备工作</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31.1.1阅读由采购人或招标代理单位编写的招标项目情况的说明材料；</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31.1.2阅读、研究招标文件和相关评标资料，获取评标所需要的重要信息和数据；</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31.1.3熟悉招标文件规定的评标方法及在评标过程中需要考虑的相关因素；</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31.1.4核对评标工作用表。</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31.2  评标办法</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31.2.1评标委员会按照第三章“评标办法”规定的方法、评审因素、标准和程序对投标文件进行评审。第三章“评标办法”没有规定的方法、评审因素和标准，不作为评标依据。</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31.3评标原则：</w:t>
      </w:r>
    </w:p>
    <w:p>
      <w:pPr>
        <w:wordWrap w:val="0"/>
        <w:overflowPunct w:val="0"/>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   遵循公平、公正、科学和择优的原则。</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31.4 关于提供相同品牌的处理</w:t>
      </w:r>
    </w:p>
    <w:p>
      <w:pPr>
        <w:pStyle w:val="31"/>
        <w:shd w:val="clear" w:color="auto" w:fill="FFFFFF"/>
        <w:wordWrap w:val="0"/>
        <w:overflowPunct w:val="0"/>
        <w:spacing w:before="0" w:beforeAutospacing="0" w:after="0" w:afterAutospacing="0" w:line="384" w:lineRule="atLeast"/>
        <w:ind w:firstLine="400" w:firstLineChars="200"/>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hd w:val="clear" w:color="auto" w:fill="FFFFFF"/>
        <w:wordWrap w:val="0"/>
        <w:overflowPunct w:val="0"/>
        <w:spacing w:before="0" w:beforeAutospacing="0" w:after="0" w:afterAutospacing="0" w:line="384" w:lineRule="atLeast"/>
        <w:ind w:firstLine="400" w:firstLineChars="200"/>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非单一产品采购项目，采购人应当根据采购项目技术构成、产品价格比重等合理确定核心产品，并在招标文件中载明。多家投标人提供的核心产品品牌相同的，按前款规定处理。</w:t>
      </w:r>
    </w:p>
    <w:p>
      <w:pPr>
        <w:wordWrap w:val="0"/>
        <w:overflowPunct w:val="0"/>
        <w:spacing w:line="440" w:lineRule="exact"/>
        <w:ind w:firstLine="196" w:firstLineChars="98"/>
        <w:jc w:val="left"/>
        <w:rPr>
          <w:rFonts w:hint="eastAsia" w:ascii="宋体" w:hAnsi="宋体" w:eastAsia="宋体" w:cs="宋体"/>
          <w:color w:val="auto"/>
          <w:sz w:val="20"/>
          <w:szCs w:val="20"/>
        </w:rPr>
      </w:pPr>
      <w:r>
        <w:rPr>
          <w:rFonts w:hint="eastAsia" w:ascii="宋体" w:hAnsi="宋体" w:eastAsia="宋体" w:cs="宋体"/>
          <w:color w:val="auto"/>
          <w:sz w:val="20"/>
          <w:szCs w:val="20"/>
        </w:rPr>
        <w:t>31.5投标文件的澄清</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31.5.1 在评标过程中，评标委员会认为需要，在监督管理部门的监督下，可要求投标人对投标文件中的有关问题进行澄清或提供补充说明及有关资料，投标人应做出书面答复。</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31.5.2 书面答复须经投标人法定代表人或其委托代理人签字或盖章，签字或盖章的书面答复将被视为投标文件的组成部分。</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31.6报价合理性的判断</w:t>
      </w:r>
    </w:p>
    <w:p>
      <w:pPr>
        <w:wordWrap w:val="0"/>
        <w:overflowPunct w:val="0"/>
        <w:spacing w:line="44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31.7评审意见分歧的处理办法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（1）评标委员会应当对投标人提供的报告、证明材料及详细说明认真研究。对存在意见分歧的，可采用投票方式表决决定（按多数评委意见为准）；</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（2）招标投标当事人对评标结果提出异议或者投诉，监督机构认为需要重新进行评标的，评标委员会成员应当按照监督机构要求重新评标。</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31.8评标报告的签署</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31.8.1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31.9评标过程的保密</w:t>
      </w:r>
    </w:p>
    <w:p>
      <w:pPr>
        <w:wordWrap w:val="0"/>
        <w:overflowPunct w:val="0"/>
        <w:spacing w:line="440" w:lineRule="exact"/>
        <w:ind w:firstLine="220" w:firstLineChars="100"/>
        <w:jc w:val="left"/>
        <w:rPr>
          <w:rFonts w:hint="eastAsia" w:ascii="宋体" w:hAnsi="宋体" w:eastAsia="宋体" w:cs="宋体"/>
          <w:color w:val="auto"/>
          <w:sz w:val="20"/>
          <w:szCs w:val="20"/>
        </w:rPr>
      </w:pPr>
      <w:r>
        <w:rPr>
          <w:rFonts w:hint="eastAsia" w:ascii="宋体" w:hAnsi="宋体" w:eastAsia="宋体" w:cs="宋体"/>
          <w:color w:val="auto"/>
          <w:sz w:val="22"/>
          <w:szCs w:val="22"/>
        </w:rPr>
        <w:t> </w:t>
      </w:r>
      <w:r>
        <w:rPr>
          <w:rFonts w:hint="eastAsia" w:ascii="宋体" w:hAnsi="宋体" w:eastAsia="宋体" w:cs="宋体"/>
          <w:color w:val="auto"/>
          <w:sz w:val="20"/>
          <w:szCs w:val="20"/>
        </w:rPr>
        <w:t>评标委员会成员和与评标活动有关的工作人员不得透露对投标文件的评审和比较、中标候选人的推荐情况以及与评标有关的其他情况。</w:t>
      </w:r>
    </w:p>
    <w:p>
      <w:pPr>
        <w:wordWrap w:val="0"/>
        <w:overflowPunct w:val="0"/>
        <w:spacing w:line="440" w:lineRule="exact"/>
        <w:ind w:firstLine="402" w:firstLineChars="200"/>
        <w:jc w:val="left"/>
        <w:rPr>
          <w:rFonts w:hint="eastAsia" w:ascii="宋体" w:hAnsi="宋体" w:eastAsia="宋体" w:cs="宋体"/>
          <w:b/>
          <w:bCs/>
          <w:color w:val="auto"/>
          <w:sz w:val="20"/>
          <w:szCs w:val="20"/>
        </w:rPr>
      </w:pPr>
      <w:r>
        <w:rPr>
          <w:rFonts w:hint="eastAsia" w:ascii="宋体" w:hAnsi="宋体" w:eastAsia="宋体" w:cs="宋体"/>
          <w:b/>
          <w:bCs/>
          <w:color w:val="auto"/>
          <w:sz w:val="20"/>
          <w:szCs w:val="20"/>
        </w:rPr>
        <w:t>31.10评标结果公告</w:t>
      </w:r>
    </w:p>
    <w:p>
      <w:pPr>
        <w:wordWrap w:val="0"/>
        <w:overflowPunct w:val="0"/>
        <w:snapToGrid w:val="0"/>
        <w:spacing w:line="360" w:lineRule="exact"/>
        <w:rPr>
          <w:rFonts w:hint="eastAsia" w:ascii="宋体" w:hAnsi="宋体" w:eastAsia="宋体" w:cs="宋体"/>
          <w:color w:val="auto"/>
          <w:sz w:val="20"/>
          <w:szCs w:val="20"/>
        </w:rPr>
      </w:pPr>
      <w:r>
        <w:rPr>
          <w:rFonts w:hint="eastAsia" w:ascii="宋体" w:hAnsi="宋体" w:eastAsia="宋体" w:cs="宋体"/>
          <w:b/>
          <w:bCs/>
          <w:color w:val="auto"/>
          <w:sz w:val="20"/>
          <w:szCs w:val="20"/>
        </w:rPr>
        <w:t xml:space="preserve">    采购人应将中标人的情况在网站上予以公告，公告期为1个工作日（若有业绩要求，业绩同时公告）。</w:t>
      </w:r>
    </w:p>
    <w:p>
      <w:pPr>
        <w:wordWrap w:val="0"/>
        <w:overflowPunct w:val="0"/>
        <w:spacing w:line="440" w:lineRule="exact"/>
        <w:ind w:firstLine="197" w:firstLineChars="98"/>
        <w:jc w:val="left"/>
        <w:rPr>
          <w:rFonts w:hint="eastAsia" w:ascii="宋体" w:hAnsi="宋体" w:eastAsia="宋体" w:cs="宋体"/>
          <w:b/>
          <w:color w:val="auto"/>
          <w:sz w:val="20"/>
          <w:szCs w:val="20"/>
        </w:rPr>
      </w:pPr>
      <w:r>
        <w:rPr>
          <w:rFonts w:hint="eastAsia" w:ascii="宋体" w:hAnsi="宋体" w:eastAsia="宋体" w:cs="宋体"/>
          <w:b/>
          <w:color w:val="auto"/>
          <w:sz w:val="20"/>
          <w:szCs w:val="20"/>
        </w:rPr>
        <w:t>32. 定标</w:t>
      </w:r>
    </w:p>
    <w:p>
      <w:pPr>
        <w:wordWrap w:val="0"/>
        <w:overflowPunct w:val="0"/>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    32.1 中标人的确定</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32.1.1除投标人须知前附表规定评标委员会直接确定中标人外，采购人依据评标委员会推荐的中标候选人确定中标人，评标委员会推荐中标候选人的人数见投标人须知前附表。</w:t>
      </w:r>
    </w:p>
    <w:p>
      <w:pPr>
        <w:wordWrap w:val="0"/>
        <w:overflowPunct w:val="0"/>
        <w:spacing w:line="360" w:lineRule="auto"/>
        <w:ind w:left="120" w:leftChars="57"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32.1.2中标人确定后，采购人应将中标信息在网站上公告。</w:t>
      </w:r>
    </w:p>
    <w:p>
      <w:pPr>
        <w:wordWrap w:val="0"/>
        <w:overflowPunct w:val="0"/>
        <w:spacing w:line="50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32.2 中标通知书</w:t>
      </w:r>
    </w:p>
    <w:p>
      <w:pPr>
        <w:pStyle w:val="18"/>
        <w:wordWrap w:val="0"/>
        <w:overflowPunct w:val="0"/>
        <w:spacing w:line="460" w:lineRule="exact"/>
        <w:ind w:firstLine="400" w:firstLineChars="200"/>
        <w:rPr>
          <w:rFonts w:hint="eastAsia" w:ascii="宋体" w:hAnsi="宋体" w:eastAsia="宋体" w:cs="宋体"/>
          <w:color w:val="auto"/>
          <w:sz w:val="20"/>
          <w:szCs w:val="22"/>
        </w:rPr>
      </w:pPr>
      <w:r>
        <w:rPr>
          <w:rFonts w:hint="eastAsia" w:ascii="宋体" w:hAnsi="宋体" w:eastAsia="宋体" w:cs="宋体"/>
          <w:color w:val="auto"/>
          <w:sz w:val="20"/>
          <w:szCs w:val="20"/>
        </w:rPr>
        <w:t>32.2.1</w:t>
      </w:r>
      <w:r>
        <w:rPr>
          <w:rFonts w:hint="eastAsia" w:ascii="宋体" w:hAnsi="宋体" w:eastAsia="宋体" w:cs="宋体"/>
          <w:color w:val="auto"/>
          <w:sz w:val="20"/>
          <w:szCs w:val="22"/>
        </w:rPr>
        <w:t>采购人或采购代理机构应在中标人确定之日起2个工作日内，在网站公告中标结果并同时向中标人发出中标通知书。</w:t>
      </w:r>
    </w:p>
    <w:p>
      <w:pPr>
        <w:wordWrap w:val="0"/>
        <w:overflowPunct w:val="0"/>
        <w:snapToGrid w:val="0"/>
        <w:spacing w:line="4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32.2.2中标通知书须加盖采购人、采购代理机构公章后，方可发出。</w:t>
      </w:r>
    </w:p>
    <w:p>
      <w:pPr>
        <w:pStyle w:val="18"/>
        <w:wordWrap w:val="0"/>
        <w:overflowPunct w:val="0"/>
        <w:spacing w:line="460" w:lineRule="exact"/>
        <w:ind w:firstLine="400" w:firstLineChars="200"/>
        <w:rPr>
          <w:rFonts w:hint="eastAsia" w:ascii="宋体" w:hAnsi="宋体" w:eastAsia="宋体" w:cs="宋体"/>
          <w:color w:val="auto"/>
          <w:sz w:val="20"/>
          <w:szCs w:val="22"/>
        </w:rPr>
      </w:pPr>
      <w:r>
        <w:rPr>
          <w:rFonts w:hint="eastAsia" w:ascii="宋体" w:hAnsi="宋体" w:eastAsia="宋体" w:cs="宋体"/>
          <w:color w:val="auto"/>
          <w:sz w:val="20"/>
          <w:szCs w:val="20"/>
        </w:rPr>
        <w:t>32.2.3采购人将在发出中标通知书的同时，</w:t>
      </w:r>
      <w:r>
        <w:rPr>
          <w:rFonts w:hint="eastAsia" w:ascii="宋体" w:hAnsi="宋体" w:eastAsia="宋体" w:cs="宋体"/>
          <w:color w:val="auto"/>
          <w:sz w:val="20"/>
          <w:szCs w:val="22"/>
        </w:rPr>
        <w:t>向未通过资格审查的投标人告知其未通过的原因。</w:t>
      </w:r>
    </w:p>
    <w:p>
      <w:pPr>
        <w:wordWrap w:val="0"/>
        <w:overflowPunct w:val="0"/>
        <w:spacing w:line="440" w:lineRule="exact"/>
        <w:ind w:firstLine="197" w:firstLineChars="98"/>
        <w:jc w:val="left"/>
        <w:rPr>
          <w:rFonts w:hint="eastAsia" w:ascii="宋体" w:hAnsi="宋体" w:eastAsia="宋体" w:cs="宋体"/>
          <w:b/>
          <w:color w:val="auto"/>
          <w:sz w:val="20"/>
          <w:szCs w:val="20"/>
        </w:rPr>
      </w:pPr>
      <w:r>
        <w:rPr>
          <w:rFonts w:hint="eastAsia" w:ascii="宋体" w:hAnsi="宋体" w:eastAsia="宋体" w:cs="宋体"/>
          <w:b/>
          <w:color w:val="auto"/>
          <w:sz w:val="20"/>
          <w:szCs w:val="20"/>
        </w:rPr>
        <w:t>33. 开评标异常情况处理</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33.1重新招标 </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有下列情形之一的，采购人将重新招标：</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(1)投标截止时间止，投标人少于三个的； </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(2)经评标委员会评审后否决所有投标的；</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(3)出现影响采购公正的违法、违规行为的；</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(4)投标人的报价均脱离实际且无充分证据的；</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(5)因重大变故，采购任务取消的。</w:t>
      </w:r>
    </w:p>
    <w:p>
      <w:pPr>
        <w:wordWrap w:val="0"/>
        <w:overflowPunct w:val="0"/>
        <w:spacing w:line="440" w:lineRule="exact"/>
        <w:jc w:val="center"/>
        <w:rPr>
          <w:rFonts w:hint="eastAsia" w:ascii="宋体" w:hAnsi="宋体" w:eastAsia="宋体" w:cs="宋体"/>
          <w:color w:val="auto"/>
          <w:sz w:val="24"/>
          <w:szCs w:val="24"/>
        </w:rPr>
      </w:pPr>
      <w:bookmarkStart w:id="59" w:name="_Toc449028873"/>
    </w:p>
    <w:p>
      <w:pPr>
        <w:wordWrap w:val="0"/>
        <w:overflowPunct w:val="0"/>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4"/>
          <w:szCs w:val="24"/>
        </w:rPr>
        <w:t>（六）合同的授予</w:t>
      </w:r>
      <w:bookmarkEnd w:id="59"/>
    </w:p>
    <w:p>
      <w:pPr>
        <w:wordWrap w:val="0"/>
        <w:overflowPunct w:val="0"/>
        <w:spacing w:line="440" w:lineRule="exact"/>
        <w:ind w:firstLine="496" w:firstLineChars="2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34. 合同授予标准</w:t>
      </w:r>
    </w:p>
    <w:p>
      <w:pPr>
        <w:wordWrap w:val="0"/>
        <w:overflowPunct w:val="0"/>
        <w:spacing w:line="440" w:lineRule="exact"/>
        <w:ind w:firstLine="500" w:firstLineChars="250"/>
        <w:jc w:val="left"/>
        <w:rPr>
          <w:rFonts w:hint="eastAsia" w:ascii="宋体" w:hAnsi="宋体" w:eastAsia="宋体" w:cs="宋体"/>
          <w:color w:val="auto"/>
          <w:sz w:val="20"/>
          <w:szCs w:val="20"/>
        </w:rPr>
      </w:pPr>
      <w:r>
        <w:rPr>
          <w:rFonts w:hint="eastAsia" w:ascii="宋体" w:hAnsi="宋体" w:eastAsia="宋体" w:cs="宋体"/>
          <w:color w:val="auto"/>
          <w:sz w:val="20"/>
          <w:szCs w:val="20"/>
        </w:rPr>
        <w:t>34.1  本招标项目的合同将授予按本投标须知第32条规定所确定的中标人。</w:t>
      </w:r>
    </w:p>
    <w:p>
      <w:pPr>
        <w:wordWrap w:val="0"/>
        <w:overflowPunct w:val="0"/>
        <w:spacing w:line="440" w:lineRule="exact"/>
        <w:ind w:firstLine="496" w:firstLineChars="2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35. 合同协议书的签订</w:t>
      </w:r>
    </w:p>
    <w:p>
      <w:pPr>
        <w:wordWrap w:val="0"/>
        <w:overflowPunct w:val="0"/>
        <w:spacing w:line="440" w:lineRule="exact"/>
        <w:ind w:firstLine="470" w:firstLineChars="250"/>
        <w:jc w:val="left"/>
        <w:rPr>
          <w:rFonts w:hint="eastAsia" w:ascii="宋体" w:hAnsi="宋体" w:eastAsia="宋体" w:cs="宋体"/>
          <w:color w:val="auto"/>
          <w:spacing w:val="-6"/>
          <w:sz w:val="20"/>
          <w:szCs w:val="20"/>
        </w:rPr>
      </w:pPr>
      <w:r>
        <w:rPr>
          <w:rFonts w:hint="eastAsia" w:ascii="宋体" w:hAnsi="宋体" w:eastAsia="宋体" w:cs="宋体"/>
          <w:color w:val="auto"/>
          <w:spacing w:val="-6"/>
          <w:sz w:val="20"/>
          <w:szCs w:val="20"/>
        </w:rPr>
        <w:t>35.1采购人与中标人</w:t>
      </w:r>
      <w:r>
        <w:rPr>
          <w:rFonts w:hint="eastAsia" w:ascii="宋体" w:hAnsi="宋体" w:eastAsia="宋体" w:cs="宋体"/>
          <w:color w:val="auto"/>
          <w:spacing w:val="-6"/>
          <w:sz w:val="20"/>
          <w:szCs w:val="20"/>
          <w:highlight w:val="none"/>
        </w:rPr>
        <w:t>将于中标通知书发出之日起</w:t>
      </w:r>
      <w:r>
        <w:rPr>
          <w:rFonts w:hint="eastAsia" w:ascii="宋体" w:hAnsi="宋体" w:eastAsia="宋体" w:cs="宋体"/>
          <w:color w:val="auto"/>
          <w:spacing w:val="-6"/>
          <w:sz w:val="20"/>
          <w:szCs w:val="20"/>
          <w:highlight w:val="none"/>
          <w:lang w:val="en-US" w:eastAsia="zh-CN"/>
        </w:rPr>
        <w:t>7</w:t>
      </w:r>
      <w:r>
        <w:rPr>
          <w:rFonts w:hint="eastAsia" w:ascii="宋体" w:hAnsi="宋体" w:eastAsia="宋体" w:cs="宋体"/>
          <w:color w:val="auto"/>
          <w:spacing w:val="-6"/>
          <w:sz w:val="20"/>
          <w:szCs w:val="20"/>
          <w:highlight w:val="none"/>
        </w:rPr>
        <w:t>个工作日内，按照招</w:t>
      </w:r>
      <w:r>
        <w:rPr>
          <w:rFonts w:hint="eastAsia" w:ascii="宋体" w:hAnsi="宋体" w:eastAsia="宋体" w:cs="宋体"/>
          <w:color w:val="auto"/>
          <w:spacing w:val="-6"/>
          <w:sz w:val="20"/>
          <w:szCs w:val="20"/>
        </w:rPr>
        <w:t>标文件和中标人的投标文件订立书面采购合同。采购人和中标人不得再行订立背离合同实质性内容的其他协议。</w:t>
      </w:r>
    </w:p>
    <w:p>
      <w:pPr>
        <w:wordWrap w:val="0"/>
        <w:overflowPunct w:val="0"/>
        <w:spacing w:line="440" w:lineRule="exact"/>
        <w:ind w:firstLine="500" w:firstLineChars="250"/>
        <w:jc w:val="left"/>
        <w:rPr>
          <w:rFonts w:hint="eastAsia" w:ascii="宋体" w:hAnsi="宋体" w:eastAsia="宋体" w:cs="宋体"/>
          <w:color w:val="auto"/>
          <w:sz w:val="20"/>
          <w:szCs w:val="20"/>
        </w:rPr>
      </w:pPr>
      <w:r>
        <w:rPr>
          <w:rFonts w:hint="eastAsia" w:ascii="宋体" w:hAnsi="宋体" w:eastAsia="宋体" w:cs="宋体"/>
          <w:color w:val="auto"/>
          <w:sz w:val="20"/>
          <w:szCs w:val="20"/>
        </w:rPr>
        <w:t>35.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中标人如不按本投标须知第32条的规定与采购人订立合同，则采购人将废除授标，给采购人造成的损失超过投标担保数额的，还应当对超过部分予以赔偿，同时依法承担相应法律责任。</w:t>
      </w:r>
    </w:p>
    <w:p>
      <w:pPr>
        <w:wordWrap w:val="0"/>
        <w:overflowPunct w:val="0"/>
        <w:spacing w:line="44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35.</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中标人应当按照合同约定履行义务，完成中标项目，不得将中标项目转让（转包）给他人。</w:t>
      </w:r>
    </w:p>
    <w:p>
      <w:pPr>
        <w:wordWrap w:val="0"/>
        <w:overflowPunct w:val="0"/>
        <w:spacing w:line="440" w:lineRule="exact"/>
        <w:rPr>
          <w:rFonts w:hint="eastAsia" w:ascii="宋体" w:hAnsi="宋体" w:eastAsia="宋体" w:cs="宋体"/>
          <w:b/>
          <w:color w:val="auto"/>
          <w:sz w:val="20"/>
          <w:szCs w:val="20"/>
          <w:lang w:val="en-US" w:eastAsia="zh-CN"/>
        </w:rPr>
      </w:pPr>
      <w:r>
        <w:rPr>
          <w:rFonts w:hint="eastAsia" w:ascii="宋体" w:hAnsi="宋体" w:eastAsia="宋体" w:cs="宋体"/>
          <w:color w:val="auto"/>
          <w:sz w:val="20"/>
          <w:szCs w:val="20"/>
        </w:rPr>
        <w:t xml:space="preserve">    36.</w:t>
      </w:r>
      <w:bookmarkStart w:id="60" w:name="_Toc217446068"/>
      <w:r>
        <w:rPr>
          <w:rFonts w:hint="eastAsia" w:ascii="宋体" w:hAnsi="宋体" w:eastAsia="宋体" w:cs="宋体"/>
          <w:b/>
          <w:color w:val="auto"/>
          <w:sz w:val="20"/>
          <w:szCs w:val="20"/>
        </w:rPr>
        <w:t>履约保证金</w:t>
      </w:r>
      <w:bookmarkEnd w:id="60"/>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lang w:val="en-US" w:eastAsia="zh-CN"/>
        </w:rPr>
        <w:t>本项目不采用）</w:t>
      </w:r>
    </w:p>
    <w:p>
      <w:pPr>
        <w:wordWrap w:val="0"/>
        <w:overflowPunct w:val="0"/>
        <w:adjustRightInd w:val="0"/>
        <w:snapToGrid w:val="0"/>
        <w:spacing w:line="440" w:lineRule="exact"/>
        <w:jc w:val="center"/>
        <w:rPr>
          <w:rFonts w:hint="eastAsia" w:ascii="宋体" w:hAnsi="宋体" w:eastAsia="宋体" w:cs="宋体"/>
          <w:color w:val="auto"/>
          <w:sz w:val="24"/>
          <w:szCs w:val="24"/>
        </w:rPr>
      </w:pPr>
      <w:bookmarkStart w:id="61" w:name="_Toc449028874"/>
      <w:r>
        <w:rPr>
          <w:rFonts w:hint="eastAsia" w:ascii="宋体" w:hAnsi="宋体" w:eastAsia="宋体" w:cs="宋体"/>
          <w:color w:val="auto"/>
          <w:sz w:val="24"/>
          <w:szCs w:val="24"/>
        </w:rPr>
        <w:t>（七）纪律和监督</w:t>
      </w:r>
      <w:bookmarkEnd w:id="61"/>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37. 对采购人的纪律要求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37.1采购人不得泄漏招标投标活动中应当保密的情况和资料，不得与投标人串通损害国家利益，社会公共利益或者他人合法权益。 </w:t>
      </w:r>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38. 对投标人的纪律要求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38.1投标人不得相互串通投标或者与采购人串通投标，不得向采购人或者评标委员会成员行贿谋取中标，不得以他人名义投标或者以其他方式弄虚作假骗取中标；投标人不得以任何方式干扰、影响评标工作。</w:t>
      </w:r>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39. 对评标委员会成员的纪律要求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39.1评标委员会成员不得收受他人的财物或者其他好处，不得向他人透漏对投标文件的评审和比较、中标候选人的推荐情况以及评标有关的其他情况。</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39.2在评标活动中，评标委员会成员不得擅离职守，影响评标程序正常进行，不得使用第三章“评标办法”没有规定的评审因素和标准进行评标。 </w:t>
      </w:r>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40. 对与评标活动有关的工作人员的纪律要求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ordWrap w:val="0"/>
        <w:overflowPunct w:val="0"/>
        <w:spacing w:line="440" w:lineRule="exact"/>
        <w:jc w:val="center"/>
        <w:rPr>
          <w:rFonts w:hint="eastAsia" w:ascii="宋体" w:hAnsi="宋体" w:eastAsia="宋体" w:cs="宋体"/>
          <w:color w:val="auto"/>
          <w:sz w:val="24"/>
          <w:szCs w:val="24"/>
        </w:rPr>
      </w:pPr>
      <w:bookmarkStart w:id="62" w:name="_Toc449028875"/>
      <w:r>
        <w:rPr>
          <w:rFonts w:hint="eastAsia" w:ascii="宋体" w:hAnsi="宋体" w:eastAsia="宋体" w:cs="宋体"/>
          <w:color w:val="auto"/>
          <w:sz w:val="24"/>
          <w:szCs w:val="24"/>
        </w:rPr>
        <w:t>（八）质疑与投诉</w:t>
      </w:r>
      <w:bookmarkEnd w:id="62"/>
    </w:p>
    <w:p>
      <w:pPr>
        <w:wordWrap w:val="0"/>
        <w:overflowPunct w:val="0"/>
        <w:spacing w:line="380" w:lineRule="exact"/>
        <w:ind w:firstLine="299" w:firstLineChars="149"/>
        <w:jc w:val="left"/>
        <w:rPr>
          <w:rFonts w:hint="eastAsia" w:ascii="宋体" w:hAnsi="宋体" w:eastAsia="宋体" w:cs="宋体"/>
          <w:b/>
          <w:color w:val="auto"/>
          <w:sz w:val="20"/>
          <w:szCs w:val="20"/>
        </w:rPr>
      </w:pPr>
      <w:r>
        <w:rPr>
          <w:rFonts w:hint="eastAsia" w:ascii="宋体" w:hAnsi="宋体" w:eastAsia="宋体" w:cs="宋体"/>
          <w:b/>
          <w:color w:val="auto"/>
          <w:sz w:val="20"/>
          <w:szCs w:val="20"/>
        </w:rPr>
        <w:t>41. 询问、质疑</w:t>
      </w:r>
    </w:p>
    <w:p>
      <w:pPr>
        <w:wordWrap w:val="0"/>
        <w:overflowPunct w:val="0"/>
        <w:spacing w:line="40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41.1 投标人对招标活动事项有疑问的，可以向采购人提出询问，采购人将在三个工作日内作出答复，但答复的内容不涉及商业秘密。</w:t>
      </w:r>
    </w:p>
    <w:p>
      <w:pPr>
        <w:wordWrap w:val="0"/>
        <w:overflowPunct w:val="0"/>
        <w:spacing w:line="40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41.2 投标人认为采购文件、采购过程和中标结果使自己的合法权益受到损害的，可以在知道或者应当知道其权益受到损害之日起七个工作日内，以书面形式将质疑文件原件送达采购人。</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41.3中标公告发布后，参与投标的投标人对中标公告有异议的，应该在公告期限届满之日起七个工作日内向采购人书面提出质疑。但属于第41.1款问题，且未在规定时间提出质疑的，不予受理。</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41.4参与投标的投标人对中标公告提出的书面质疑，负有举证的责任。投标人提出质疑应当提交质疑函和必要的证明材料。质疑函应当包括下列内容：</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（一）投标人的姓名或者名称、地址、邮编、联系人及联系电话；</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（二）质疑项目的名称、编号；</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（三）具体、明确的质疑事项和与质疑事项相关的请求；</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（四）事实依据；</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（五）必要的法律依据；</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（六）提出质疑的日期。</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投标人为自然人的，应当由本人签字；投标人为法人或者其他组织的，应当由法定代表人、主要负责人，或者其授权代表签字或者盖章，并加盖公章。质疑函递交至采购人或采购代理机构。一份质疑函只能针对一个项目提出质疑，且针对同一招标采购程序环节的质疑应当一次性提出。</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41.5采购人或采购代理机构在收到投标人的质疑函后，将审查质疑函的格式、内容以及所附的证明文件是否符合要求。如不符合，说明原因退回投标人；如符合要求，则接受该质疑函并向投标人出具受理证明。</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41.6处理质疑的时间，从实际接受投标人质疑函、出具受理证明的时间开始计算。</w:t>
      </w:r>
    </w:p>
    <w:p>
      <w:pPr>
        <w:wordWrap w:val="0"/>
        <w:overflowPunct w:val="0"/>
        <w:spacing w:line="380" w:lineRule="exact"/>
        <w:ind w:firstLine="299" w:firstLineChars="149"/>
        <w:jc w:val="left"/>
        <w:rPr>
          <w:rFonts w:hint="eastAsia" w:ascii="宋体" w:hAnsi="宋体" w:eastAsia="宋体" w:cs="宋体"/>
          <w:b/>
          <w:color w:val="auto"/>
          <w:sz w:val="20"/>
          <w:szCs w:val="20"/>
        </w:rPr>
      </w:pPr>
      <w:r>
        <w:rPr>
          <w:rFonts w:hint="eastAsia" w:ascii="宋体" w:hAnsi="宋体" w:eastAsia="宋体" w:cs="宋体"/>
          <w:b/>
          <w:color w:val="auto"/>
          <w:sz w:val="20"/>
          <w:szCs w:val="20"/>
        </w:rPr>
        <w:t>42. 投诉</w:t>
      </w:r>
    </w:p>
    <w:p>
      <w:pPr>
        <w:wordWrap w:val="0"/>
        <w:overflowPunct w:val="0"/>
        <w:spacing w:line="400" w:lineRule="exact"/>
        <w:ind w:firstLine="300" w:firstLineChars="150"/>
        <w:jc w:val="left"/>
        <w:rPr>
          <w:rFonts w:hint="eastAsia" w:ascii="宋体" w:hAnsi="宋体" w:eastAsia="宋体" w:cs="宋体"/>
          <w:color w:val="auto"/>
          <w:sz w:val="28"/>
          <w:szCs w:val="28"/>
        </w:rPr>
      </w:pPr>
      <w:r>
        <w:rPr>
          <w:rFonts w:hint="eastAsia" w:ascii="宋体" w:hAnsi="宋体" w:eastAsia="宋体" w:cs="宋体"/>
          <w:color w:val="auto"/>
          <w:sz w:val="20"/>
          <w:szCs w:val="20"/>
        </w:rPr>
        <w:t>42.1</w:t>
      </w:r>
      <w:r>
        <w:rPr>
          <w:rFonts w:hint="eastAsia" w:ascii="宋体" w:hAnsi="宋体" w:eastAsia="宋体" w:cs="宋体"/>
          <w:color w:val="auto"/>
          <w:kern w:val="10"/>
          <w:sz w:val="20"/>
          <w:szCs w:val="20"/>
        </w:rPr>
        <w:t>投标人对采购人的答复不满意，或者采购人未在规定的时间内答复的，可以在答复期满后十五个工作日内按有关规定，向同级政府采购监督管理部门进行投诉。</w:t>
      </w:r>
    </w:p>
    <w:p>
      <w:pPr>
        <w:wordWrap w:val="0"/>
        <w:overflowPunct w:val="0"/>
        <w:spacing w:before="156" w:beforeLines="50" w:after="156" w:afterLines="50"/>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bookmarkStart w:id="63" w:name="_Toc19248"/>
      <w:bookmarkStart w:id="64" w:name="_Toc58430316"/>
      <w:bookmarkStart w:id="65" w:name="_Toc21525"/>
      <w:r>
        <w:rPr>
          <w:rFonts w:hint="eastAsia" w:ascii="宋体" w:hAnsi="宋体" w:eastAsia="宋体" w:cs="宋体"/>
          <w:b/>
          <w:color w:val="auto"/>
          <w:sz w:val="28"/>
          <w:szCs w:val="28"/>
        </w:rPr>
        <w:t>第三章 评标办法（</w:t>
      </w:r>
      <w:r>
        <w:rPr>
          <w:rFonts w:hint="eastAsia" w:ascii="宋体" w:hAnsi="宋体" w:eastAsia="宋体" w:cs="宋体"/>
          <w:b/>
          <w:color w:val="auto"/>
          <w:sz w:val="28"/>
          <w:szCs w:val="28"/>
          <w:lang w:val="en-US" w:eastAsia="zh-CN"/>
        </w:rPr>
        <w:t>最低价</w:t>
      </w:r>
      <w:r>
        <w:rPr>
          <w:rFonts w:hint="eastAsia" w:ascii="宋体" w:hAnsi="宋体" w:eastAsia="宋体" w:cs="宋体"/>
          <w:b/>
          <w:color w:val="auto"/>
          <w:sz w:val="28"/>
          <w:szCs w:val="28"/>
        </w:rPr>
        <w:t>法）</w:t>
      </w:r>
      <w:bookmarkEnd w:id="63"/>
      <w:bookmarkEnd w:id="64"/>
      <w:bookmarkEnd w:id="65"/>
    </w:p>
    <w:p>
      <w:pPr>
        <w:wordWrap w:val="0"/>
        <w:overflowPunct w:val="0"/>
        <w:spacing w:before="156" w:beforeLines="50" w:after="156" w:afterLines="50" w:line="440" w:lineRule="exact"/>
        <w:jc w:val="center"/>
        <w:outlineLvl w:val="1"/>
        <w:rPr>
          <w:rFonts w:hint="eastAsia" w:ascii="宋体" w:hAnsi="宋体" w:eastAsia="宋体" w:cs="宋体"/>
          <w:b/>
          <w:color w:val="auto"/>
          <w:sz w:val="24"/>
          <w:szCs w:val="24"/>
        </w:rPr>
      </w:pPr>
      <w:bookmarkStart w:id="66" w:name="_Toc58430317"/>
      <w:bookmarkStart w:id="67" w:name="_Toc449028877"/>
      <w:bookmarkStart w:id="68" w:name="_Toc362983801"/>
      <w:r>
        <w:rPr>
          <w:rFonts w:hint="eastAsia" w:ascii="宋体" w:hAnsi="宋体" w:eastAsia="宋体" w:cs="宋体"/>
          <w:b/>
          <w:color w:val="auto"/>
          <w:sz w:val="24"/>
          <w:szCs w:val="24"/>
        </w:rPr>
        <w:t>一、总则</w:t>
      </w:r>
      <w:bookmarkEnd w:id="66"/>
      <w:bookmarkEnd w:id="67"/>
      <w:bookmarkEnd w:id="68"/>
    </w:p>
    <w:p>
      <w:pPr>
        <w:wordWrap w:val="0"/>
        <w:overflowPunct w:val="0"/>
        <w:spacing w:line="440" w:lineRule="exact"/>
        <w:ind w:firstLine="301" w:firstLineChars="150"/>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 1. 本次评标采用</w:t>
      </w:r>
      <w:r>
        <w:rPr>
          <w:rFonts w:hint="eastAsia" w:ascii="宋体" w:hAnsi="宋体" w:eastAsia="宋体" w:cs="宋体"/>
          <w:b/>
          <w:color w:val="auto"/>
          <w:sz w:val="20"/>
          <w:szCs w:val="20"/>
          <w:lang w:val="en-US" w:eastAsia="zh-CN"/>
        </w:rPr>
        <w:t>最低价</w:t>
      </w:r>
      <w:r>
        <w:rPr>
          <w:rFonts w:hint="eastAsia" w:ascii="宋体" w:hAnsi="宋体" w:eastAsia="宋体" w:cs="宋体"/>
          <w:b/>
          <w:color w:val="auto"/>
          <w:sz w:val="20"/>
          <w:szCs w:val="20"/>
        </w:rPr>
        <w:t>法</w:t>
      </w:r>
    </w:p>
    <w:p>
      <w:pPr>
        <w:spacing w:line="480" w:lineRule="exact"/>
        <w:ind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本次</w:t>
      </w:r>
      <w:r>
        <w:rPr>
          <w:rFonts w:hint="eastAsia" w:ascii="宋体" w:hAnsi="宋体" w:eastAsia="宋体" w:cs="宋体"/>
          <w:color w:val="auto"/>
          <w:sz w:val="20"/>
          <w:szCs w:val="20"/>
          <w:highlight w:val="none"/>
          <w:lang w:val="en-US" w:eastAsia="zh-CN"/>
        </w:rPr>
        <w:t>评选方法采用最低价法</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按照最低价的原则确定中签候选人，在有效报价中按照最低价确定中签候选人。若有效响应报价中最低价有两家或两家以上相同时，抽签招标第一中签候选人。</w:t>
      </w:r>
    </w:p>
    <w:p>
      <w:pPr>
        <w:spacing w:line="44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评审委员会</w:t>
      </w:r>
      <w:r>
        <w:rPr>
          <w:rFonts w:hint="eastAsia" w:ascii="宋体" w:hAnsi="宋体" w:eastAsia="宋体" w:cs="宋体"/>
          <w:color w:val="auto"/>
          <w:sz w:val="20"/>
          <w:szCs w:val="20"/>
          <w:highlight w:val="none"/>
        </w:rPr>
        <w:t>对满足</w:t>
      </w:r>
      <w:r>
        <w:rPr>
          <w:rFonts w:hint="eastAsia" w:ascii="宋体" w:hAnsi="宋体" w:eastAsia="宋体" w:cs="宋体"/>
          <w:color w:val="auto"/>
          <w:sz w:val="20"/>
          <w:szCs w:val="20"/>
          <w:highlight w:val="none"/>
          <w:lang w:eastAsia="zh-CN"/>
        </w:rPr>
        <w:t>招标文件</w:t>
      </w:r>
      <w:r>
        <w:rPr>
          <w:rFonts w:hint="eastAsia" w:ascii="宋体" w:hAnsi="宋体" w:eastAsia="宋体" w:cs="宋体"/>
          <w:color w:val="auto"/>
          <w:sz w:val="20"/>
          <w:szCs w:val="20"/>
          <w:highlight w:val="none"/>
        </w:rPr>
        <w:t>实质性要求的</w:t>
      </w:r>
      <w:r>
        <w:rPr>
          <w:rFonts w:hint="eastAsia" w:ascii="宋体" w:hAnsi="宋体" w:eastAsia="宋体" w:cs="宋体"/>
          <w:color w:val="auto"/>
          <w:sz w:val="20"/>
          <w:szCs w:val="20"/>
          <w:highlight w:val="none"/>
          <w:lang w:eastAsia="zh-CN"/>
        </w:rPr>
        <w:t>响应文件</w:t>
      </w:r>
      <w:r>
        <w:rPr>
          <w:rFonts w:hint="eastAsia" w:ascii="宋体" w:hAnsi="宋体" w:eastAsia="宋体" w:cs="宋体"/>
          <w:color w:val="auto"/>
          <w:sz w:val="20"/>
          <w:szCs w:val="20"/>
          <w:highlight w:val="none"/>
        </w:rPr>
        <w:t>，按照本章规定推荐</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应当不超过</w:t>
      </w: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rPr>
        <w:t>名</w:t>
      </w:r>
      <w:r>
        <w:rPr>
          <w:rFonts w:hint="eastAsia" w:ascii="宋体" w:hAnsi="宋体" w:eastAsia="宋体" w:cs="宋体"/>
          <w:color w:val="auto"/>
          <w:sz w:val="20"/>
          <w:szCs w:val="20"/>
          <w:highlight w:val="none"/>
        </w:rPr>
        <w:t>，并标明排序（本项目推荐</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1</w:t>
      </w:r>
      <w:r>
        <w:rPr>
          <w:rFonts w:hint="eastAsia" w:ascii="宋体" w:hAnsi="宋体" w:eastAsia="宋体" w:cs="宋体"/>
          <w:color w:val="auto"/>
          <w:sz w:val="20"/>
          <w:szCs w:val="20"/>
          <w:highlight w:val="none"/>
        </w:rPr>
        <w:t>名</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w:t>
      </w:r>
    </w:p>
    <w:p>
      <w:pPr>
        <w:widowControl/>
        <w:spacing w:line="440" w:lineRule="exact"/>
        <w:ind w:firstLine="400" w:firstLineChars="20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在评审结束后，根据</w:t>
      </w:r>
      <w:r>
        <w:rPr>
          <w:rFonts w:hint="eastAsia" w:ascii="宋体" w:hAnsi="宋体" w:eastAsia="宋体" w:cs="宋体"/>
          <w:color w:val="auto"/>
          <w:sz w:val="20"/>
          <w:szCs w:val="20"/>
          <w:highlight w:val="none"/>
          <w:lang w:eastAsia="zh-CN"/>
        </w:rPr>
        <w:t>评审委员会</w:t>
      </w:r>
      <w:r>
        <w:rPr>
          <w:rFonts w:hint="eastAsia" w:ascii="宋体" w:hAnsi="宋体" w:eastAsia="宋体" w:cs="宋体"/>
          <w:color w:val="auto"/>
          <w:sz w:val="20"/>
          <w:szCs w:val="20"/>
          <w:highlight w:val="none"/>
        </w:rPr>
        <w:t>评审初步结论，</w:t>
      </w:r>
      <w:r>
        <w:rPr>
          <w:rFonts w:hint="eastAsia" w:ascii="宋体" w:hAnsi="宋体" w:eastAsia="宋体" w:cs="宋体"/>
          <w:color w:val="auto"/>
          <w:sz w:val="20"/>
          <w:szCs w:val="20"/>
          <w:highlight w:val="none"/>
          <w:lang w:eastAsia="zh-CN"/>
        </w:rPr>
        <w:t>招标单位</w:t>
      </w:r>
      <w:r>
        <w:rPr>
          <w:rFonts w:hint="eastAsia" w:ascii="宋体" w:hAnsi="宋体" w:eastAsia="宋体" w:cs="宋体"/>
          <w:color w:val="auto"/>
          <w:sz w:val="20"/>
          <w:szCs w:val="20"/>
          <w:highlight w:val="none"/>
        </w:rPr>
        <w:t>（代理机构）将对推荐的</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、法定代表人及其项目负责人是否存在联合惩戒失信行为进行网上核查（网上查询要求及渠道按附件1执行）。若核查结果与</w:t>
      </w:r>
      <w:r>
        <w:rPr>
          <w:rFonts w:hint="eastAsia" w:ascii="宋体" w:hAnsi="宋体" w:eastAsia="宋体" w:cs="宋体"/>
          <w:color w:val="auto"/>
          <w:sz w:val="20"/>
          <w:szCs w:val="20"/>
          <w:highlight w:val="none"/>
          <w:lang w:eastAsia="zh-CN"/>
        </w:rPr>
        <w:t>投标单位</w:t>
      </w:r>
      <w:r>
        <w:rPr>
          <w:rFonts w:hint="eastAsia" w:ascii="宋体" w:hAnsi="宋体" w:eastAsia="宋体" w:cs="宋体"/>
          <w:color w:val="auto"/>
          <w:sz w:val="20"/>
          <w:szCs w:val="20"/>
          <w:highlight w:val="none"/>
        </w:rPr>
        <w:t>承诺不一致，则提交</w:t>
      </w:r>
      <w:r>
        <w:rPr>
          <w:rFonts w:hint="eastAsia" w:ascii="宋体" w:hAnsi="宋体" w:eastAsia="宋体" w:cs="宋体"/>
          <w:color w:val="auto"/>
          <w:sz w:val="20"/>
          <w:szCs w:val="20"/>
          <w:highlight w:val="none"/>
          <w:lang w:eastAsia="zh-CN"/>
        </w:rPr>
        <w:t>评审委员会</w:t>
      </w:r>
      <w:r>
        <w:rPr>
          <w:rFonts w:hint="eastAsia" w:ascii="宋体" w:hAnsi="宋体" w:eastAsia="宋体" w:cs="宋体"/>
          <w:color w:val="auto"/>
          <w:sz w:val="20"/>
          <w:szCs w:val="20"/>
          <w:highlight w:val="none"/>
        </w:rPr>
        <w:t>取消其预</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资格，依次替补，并再次对替补单位进行核查。</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2．评标程序</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2.1投标文件的初审</w:t>
      </w:r>
    </w:p>
    <w:p>
      <w:pPr>
        <w:wordWrap w:val="0"/>
        <w:overflowPunct w:val="0"/>
        <w:spacing w:line="44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2.1.1资格性检查。依据法律法规和招标文件的规定，对投标文件中的资格证明进行审查，以确定投标人是否具备投标资格。 </w:t>
      </w:r>
    </w:p>
    <w:p>
      <w:pPr>
        <w:wordWrap w:val="0"/>
        <w:overflowPunct w:val="0"/>
        <w:spacing w:line="44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2.1.2符合性检查。依据招标文件的规定，从投标文件的有效性、完整性和对招标文件的响应程度进行审查，以确定投标人是否对招标文件的实质性要求作出响应。</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2.2投标文件的澄清</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2.2.1在评标过程中，评标委员会认为需要，在见证人员在场的情况下，可要求投标人对投标文件中的有关问题进行澄清或提供补充说明及有关资料，投标人应做出书面答复。书面答复中不得变更价格、供货期、自报质量等实质性内容。</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wordWrap w:val="0"/>
        <w:overflowPunct w:val="0"/>
        <w:spacing w:line="44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2.2.3  采购人不接受投标人主动提出的澄清。</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2.3比较与评价</w:t>
      </w:r>
    </w:p>
    <w:p>
      <w:pPr>
        <w:wordWrap w:val="0"/>
        <w:overflowPunct w:val="0"/>
        <w:spacing w:line="44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2．3.1按招标文件中规定的评标方法和标准，对资格性检查和符合性检查合格的投标文件进行评价。 </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 xml:space="preserve">    2.4推荐中标候选人名单</w:t>
      </w:r>
    </w:p>
    <w:p>
      <w:pPr>
        <w:wordWrap w:val="0"/>
        <w:overflowPunct w:val="0"/>
        <w:spacing w:line="44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2.4.1中标候选人数量应当根据采购需要确定，但必须按顺序排列中标候选人。</w:t>
      </w:r>
    </w:p>
    <w:p>
      <w:pPr>
        <w:wordWrap w:val="0"/>
        <w:overflowPunct w:val="0"/>
        <w:spacing w:line="44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2.5在投标文件的审查、澄清、评价和比较以及授予合同过程中，投标人对采购人和评标委员会成员施加影响的任何行为，都将导致取消其中标资格。</w:t>
      </w:r>
    </w:p>
    <w:p>
      <w:pPr>
        <w:wordWrap w:val="0"/>
        <w:overflowPunct w:val="0"/>
        <w:spacing w:before="156" w:beforeLines="50" w:after="156" w:afterLines="50" w:line="360" w:lineRule="auto"/>
        <w:rPr>
          <w:rFonts w:hint="eastAsia" w:ascii="宋体" w:hAnsi="宋体" w:eastAsia="宋体" w:cs="宋体"/>
          <w:b/>
          <w:color w:val="auto"/>
          <w:sz w:val="24"/>
          <w:szCs w:val="24"/>
        </w:rPr>
        <w:sectPr>
          <w:footerReference r:id="rId7" w:type="default"/>
          <w:pgSz w:w="11906" w:h="16838"/>
          <w:pgMar w:top="1440" w:right="1486" w:bottom="1440" w:left="1800" w:header="851" w:footer="992" w:gutter="0"/>
          <w:cols w:space="720" w:num="1"/>
          <w:docGrid w:type="lines" w:linePitch="312" w:charSpace="0"/>
        </w:sectPr>
      </w:pPr>
      <w:bookmarkStart w:id="69" w:name="_Toc362983802"/>
    </w:p>
    <w:p>
      <w:pPr>
        <w:wordWrap w:val="0"/>
        <w:overflowPunct w:val="0"/>
        <w:jc w:val="center"/>
        <w:outlineLvl w:val="1"/>
        <w:rPr>
          <w:rFonts w:hint="eastAsia" w:ascii="宋体" w:hAnsi="宋体" w:eastAsia="宋体" w:cs="宋体"/>
          <w:b/>
          <w:color w:val="auto"/>
          <w:sz w:val="24"/>
          <w:szCs w:val="24"/>
        </w:rPr>
      </w:pPr>
      <w:bookmarkStart w:id="70" w:name="_Toc58430318"/>
      <w:bookmarkStart w:id="71" w:name="_Toc449028878"/>
      <w:r>
        <w:rPr>
          <w:rFonts w:hint="eastAsia" w:ascii="宋体" w:hAnsi="宋体" w:eastAsia="宋体" w:cs="宋体"/>
          <w:b/>
          <w:color w:val="auto"/>
          <w:sz w:val="24"/>
          <w:szCs w:val="24"/>
        </w:rPr>
        <w:t>二、投标文件初审</w:t>
      </w:r>
      <w:bookmarkEnd w:id="69"/>
      <w:bookmarkEnd w:id="70"/>
      <w:bookmarkEnd w:id="71"/>
    </w:p>
    <w:p>
      <w:pPr>
        <w:wordWrap w:val="0"/>
        <w:overflowPunct w:val="0"/>
        <w:ind w:firstLine="295" w:firstLineChars="147"/>
        <w:rPr>
          <w:rFonts w:hint="eastAsia" w:ascii="宋体" w:hAnsi="宋体" w:eastAsia="宋体" w:cs="宋体"/>
          <w:b/>
          <w:color w:val="auto"/>
          <w:sz w:val="20"/>
          <w:szCs w:val="20"/>
        </w:rPr>
      </w:pPr>
      <w:r>
        <w:rPr>
          <w:rFonts w:hint="eastAsia" w:ascii="宋体" w:hAnsi="宋体" w:eastAsia="宋体" w:cs="宋体"/>
          <w:b/>
          <w:color w:val="auto"/>
          <w:sz w:val="20"/>
          <w:szCs w:val="20"/>
        </w:rPr>
        <w:t>3.资格性审查:</w:t>
      </w:r>
    </w:p>
    <w:p>
      <w:pPr>
        <w:wordWrap w:val="0"/>
        <w:overflowPunct w:val="0"/>
        <w:spacing w:line="400" w:lineRule="exact"/>
        <w:ind w:firstLine="294" w:firstLineChars="147"/>
        <w:rPr>
          <w:rFonts w:hint="eastAsia" w:ascii="宋体" w:hAnsi="宋体" w:eastAsia="宋体" w:cs="宋体"/>
          <w:color w:val="auto"/>
          <w:sz w:val="20"/>
          <w:szCs w:val="20"/>
        </w:rPr>
      </w:pPr>
      <w:r>
        <w:rPr>
          <w:rFonts w:hint="eastAsia" w:ascii="宋体" w:hAnsi="宋体" w:eastAsia="宋体" w:cs="宋体"/>
          <w:color w:val="auto"/>
          <w:sz w:val="20"/>
          <w:szCs w:val="20"/>
        </w:rPr>
        <w:t>3.1评审细则</w:t>
      </w:r>
    </w:p>
    <w:tbl>
      <w:tblPr>
        <w:tblStyle w:val="34"/>
        <w:tblpPr w:leftFromText="180" w:rightFromText="180" w:vertAnchor="text" w:horzAnchor="page" w:tblpX="1515" w:tblpY="398"/>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93"/>
        <w:gridCol w:w="3008"/>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35"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b/>
                <w:bCs/>
                <w:color w:val="auto"/>
                <w:sz w:val="20"/>
                <w:szCs w:val="20"/>
              </w:rPr>
              <w:t>序号</w:t>
            </w:r>
          </w:p>
        </w:tc>
        <w:tc>
          <w:tcPr>
            <w:tcW w:w="4501" w:type="dxa"/>
            <w:gridSpan w:val="2"/>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评审因素</w:t>
            </w:r>
          </w:p>
        </w:tc>
        <w:tc>
          <w:tcPr>
            <w:tcW w:w="4319"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35"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493"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重要要求</w:t>
            </w:r>
          </w:p>
        </w:tc>
        <w:tc>
          <w:tcPr>
            <w:tcW w:w="3008" w:type="dxa"/>
            <w:noWrap/>
            <w:vAlign w:val="center"/>
          </w:tcPr>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（1）法定代表人身份证明和本人有效身份证(或法定代表人授权委托书和委托代理人有效身份证)</w:t>
            </w:r>
          </w:p>
        </w:tc>
        <w:tc>
          <w:tcPr>
            <w:tcW w:w="4319" w:type="dxa"/>
            <w:noWrap/>
            <w:vAlign w:val="center"/>
          </w:tcPr>
          <w:p>
            <w:pPr>
              <w:spacing w:line="440" w:lineRule="exact"/>
              <w:jc w:val="left"/>
              <w:rPr>
                <w:rFonts w:hint="eastAsia" w:ascii="宋体" w:hAnsi="宋体" w:eastAsia="宋体" w:cs="宋体"/>
                <w:color w:val="auto"/>
                <w:sz w:val="20"/>
                <w:szCs w:val="20"/>
              </w:rPr>
            </w:pPr>
            <w:r>
              <w:rPr>
                <w:rFonts w:hint="eastAsia" w:ascii="宋体" w:hAnsi="宋体" w:eastAsia="宋体" w:cs="宋体"/>
                <w:kern w:val="0"/>
                <w:sz w:val="20"/>
                <w:szCs w:val="20"/>
              </w:rPr>
              <w:t>原件或复印件加盖供应商单位公章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35" w:type="dxa"/>
            <w:vMerge w:val="restart"/>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1493" w:type="dxa"/>
            <w:vMerge w:val="restart"/>
            <w:noWrap/>
            <w:vAlign w:val="center"/>
          </w:tcPr>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投标人应符合的基本资格条件</w:t>
            </w:r>
          </w:p>
        </w:tc>
        <w:tc>
          <w:tcPr>
            <w:tcW w:w="3008" w:type="dxa"/>
            <w:noWrap/>
            <w:vAlign w:val="center"/>
          </w:tcPr>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（2）具有独立承担民事责任的能力</w:t>
            </w:r>
          </w:p>
        </w:tc>
        <w:tc>
          <w:tcPr>
            <w:tcW w:w="4319" w:type="dxa"/>
            <w:noWrap/>
            <w:vAlign w:val="center"/>
          </w:tcPr>
          <w:p>
            <w:pPr>
              <w:spacing w:line="440" w:lineRule="exact"/>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评审核验标书中的下列证书、证明材料：</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投标人有效的营业执照、税务登记证、组织机构代码证（或“三证合一</w:t>
            </w:r>
            <w:r>
              <w:rPr>
                <w:rFonts w:hint="eastAsia" w:ascii="宋体" w:hAnsi="宋体" w:eastAsia="宋体" w:cs="宋体"/>
                <w:color w:val="auto"/>
                <w:sz w:val="20"/>
                <w:szCs w:val="20"/>
                <w:lang w:eastAsia="zh-CN"/>
              </w:rPr>
              <w:t>有效</w:t>
            </w:r>
            <w:r>
              <w:rPr>
                <w:rFonts w:hint="eastAsia" w:ascii="宋体" w:hAnsi="宋体" w:eastAsia="宋体" w:cs="宋体"/>
                <w:color w:val="auto"/>
                <w:sz w:val="20"/>
                <w:szCs w:val="20"/>
              </w:rPr>
              <w:t>证书”）</w:t>
            </w:r>
            <w:r>
              <w:rPr>
                <w:rFonts w:hint="eastAsia" w:ascii="宋体" w:hAnsi="宋体" w:eastAsia="宋体" w:cs="宋体"/>
                <w:color w:val="000000"/>
                <w:sz w:val="20"/>
                <w:szCs w:val="22"/>
              </w:rPr>
              <w:t>（原件或原件复印件）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Merge w:val="continue"/>
            <w:noWrap/>
            <w:vAlign w:val="center"/>
          </w:tcPr>
          <w:p>
            <w:pPr>
              <w:spacing w:line="440" w:lineRule="exact"/>
              <w:jc w:val="center"/>
              <w:rPr>
                <w:rFonts w:hint="eastAsia" w:ascii="宋体" w:hAnsi="宋体" w:eastAsia="宋体" w:cs="宋体"/>
                <w:color w:val="auto"/>
                <w:sz w:val="20"/>
                <w:szCs w:val="20"/>
              </w:rPr>
            </w:pPr>
          </w:p>
        </w:tc>
        <w:tc>
          <w:tcPr>
            <w:tcW w:w="1493" w:type="dxa"/>
            <w:vMerge w:val="continue"/>
            <w:noWrap/>
            <w:vAlign w:val="center"/>
          </w:tcPr>
          <w:p>
            <w:pPr>
              <w:spacing w:line="440" w:lineRule="exact"/>
              <w:rPr>
                <w:rFonts w:hint="eastAsia" w:ascii="宋体" w:hAnsi="宋体" w:eastAsia="宋体" w:cs="宋体"/>
                <w:color w:val="auto"/>
                <w:sz w:val="20"/>
                <w:szCs w:val="20"/>
              </w:rPr>
            </w:pPr>
          </w:p>
        </w:tc>
        <w:tc>
          <w:tcPr>
            <w:tcW w:w="3008" w:type="dxa"/>
            <w:noWrap/>
            <w:vAlign w:val="center"/>
          </w:tcPr>
          <w:p>
            <w:pPr>
              <w:spacing w:line="440" w:lineRule="exact"/>
              <w:jc w:val="left"/>
              <w:rPr>
                <w:rFonts w:hint="eastAsia" w:ascii="宋体" w:hAnsi="宋体" w:eastAsia="宋体" w:cs="宋体"/>
                <w:b/>
                <w:color w:val="auto"/>
                <w:sz w:val="20"/>
                <w:szCs w:val="20"/>
              </w:rPr>
            </w:pPr>
            <w:r>
              <w:rPr>
                <w:rFonts w:hint="eastAsia" w:ascii="宋体" w:hAnsi="宋体" w:eastAsia="宋体" w:cs="宋体"/>
                <w:color w:val="auto"/>
                <w:sz w:val="20"/>
                <w:szCs w:val="20"/>
              </w:rPr>
              <w:t>（3）诚信投标承诺书</w:t>
            </w:r>
          </w:p>
        </w:tc>
        <w:tc>
          <w:tcPr>
            <w:tcW w:w="4319" w:type="dxa"/>
            <w:noWrap/>
            <w:vAlign w:val="center"/>
          </w:tcPr>
          <w:p>
            <w:pPr>
              <w:spacing w:line="440" w:lineRule="exact"/>
              <w:jc w:val="left"/>
              <w:rPr>
                <w:rFonts w:hint="eastAsia" w:ascii="宋体" w:hAnsi="宋体" w:eastAsia="宋体" w:cs="宋体"/>
                <w:b/>
                <w:color w:val="auto"/>
                <w:sz w:val="20"/>
                <w:szCs w:val="20"/>
              </w:rPr>
            </w:pPr>
            <w:r>
              <w:rPr>
                <w:rFonts w:hint="eastAsia" w:ascii="宋体" w:hAnsi="宋体" w:eastAsia="宋体" w:cs="宋体"/>
                <w:color w:val="auto"/>
                <w:sz w:val="20"/>
                <w:szCs w:val="20"/>
              </w:rPr>
              <w:t>格式见附件，检验标书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Merge w:val="continue"/>
            <w:noWrap/>
            <w:vAlign w:val="center"/>
          </w:tcPr>
          <w:p>
            <w:pPr>
              <w:spacing w:line="440" w:lineRule="exact"/>
              <w:jc w:val="center"/>
              <w:rPr>
                <w:rFonts w:hint="eastAsia" w:ascii="宋体" w:hAnsi="宋体" w:eastAsia="宋体" w:cs="宋体"/>
                <w:color w:val="auto"/>
                <w:sz w:val="20"/>
                <w:szCs w:val="20"/>
              </w:rPr>
            </w:pPr>
          </w:p>
        </w:tc>
        <w:tc>
          <w:tcPr>
            <w:tcW w:w="1493" w:type="dxa"/>
            <w:vMerge w:val="continue"/>
            <w:noWrap/>
            <w:vAlign w:val="center"/>
          </w:tcPr>
          <w:p>
            <w:pPr>
              <w:spacing w:line="440" w:lineRule="exact"/>
              <w:rPr>
                <w:rFonts w:hint="eastAsia" w:ascii="宋体" w:hAnsi="宋体" w:eastAsia="宋体" w:cs="宋体"/>
                <w:color w:val="auto"/>
                <w:sz w:val="20"/>
                <w:szCs w:val="20"/>
              </w:rPr>
            </w:pPr>
          </w:p>
        </w:tc>
        <w:tc>
          <w:tcPr>
            <w:tcW w:w="3008" w:type="dxa"/>
            <w:noWrap/>
            <w:vAlign w:val="center"/>
          </w:tcPr>
          <w:p>
            <w:pPr>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中小企业声明函</w:t>
            </w:r>
          </w:p>
        </w:tc>
        <w:tc>
          <w:tcPr>
            <w:tcW w:w="4319" w:type="dxa"/>
            <w:noWrap/>
            <w:vAlign w:val="center"/>
          </w:tcPr>
          <w:p>
            <w:pPr>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格式见附件，检验标书</w:t>
            </w:r>
          </w:p>
        </w:tc>
      </w:tr>
    </w:tbl>
    <w:p>
      <w:pPr>
        <w:wordWrap w:val="0"/>
        <w:overflowPunct w:val="0"/>
        <w:spacing w:line="400" w:lineRule="exact"/>
        <w:ind w:firstLine="484" w:firstLineChars="241"/>
        <w:rPr>
          <w:rFonts w:hint="eastAsia" w:ascii="宋体" w:hAnsi="宋体" w:eastAsia="宋体" w:cs="宋体"/>
          <w:b/>
          <w:color w:val="auto"/>
          <w:sz w:val="20"/>
          <w:szCs w:val="20"/>
        </w:rPr>
      </w:pPr>
      <w:r>
        <w:rPr>
          <w:rFonts w:hint="eastAsia" w:ascii="宋体" w:hAnsi="宋体" w:eastAsia="宋体" w:cs="宋体"/>
          <w:b/>
          <w:color w:val="auto"/>
          <w:sz w:val="20"/>
          <w:szCs w:val="20"/>
        </w:rPr>
        <w:t>3.</w:t>
      </w:r>
      <w:r>
        <w:rPr>
          <w:rFonts w:hint="eastAsia" w:ascii="宋体" w:hAnsi="宋体" w:eastAsia="宋体" w:cs="宋体"/>
          <w:b/>
          <w:color w:val="auto"/>
          <w:sz w:val="20"/>
          <w:szCs w:val="20"/>
          <w:lang w:val="en-US" w:eastAsia="zh-CN"/>
        </w:rPr>
        <w:t>2</w:t>
      </w:r>
      <w:r>
        <w:rPr>
          <w:rFonts w:hint="eastAsia" w:ascii="宋体" w:hAnsi="宋体" w:eastAsia="宋体" w:cs="宋体"/>
          <w:b/>
          <w:color w:val="auto"/>
          <w:sz w:val="20"/>
          <w:szCs w:val="20"/>
        </w:rPr>
        <w:t>如评标专家在检验投标文件过程中，如果由于投标人自身原因导致评标专家无法查看并检验投标文件中相关资料的，否决其投标。即使投标人将原件携带至现场的，同样按否决投标处理。</w:t>
      </w:r>
    </w:p>
    <w:p>
      <w:pPr>
        <w:wordWrap w:val="0"/>
        <w:overflowPunct w:val="0"/>
        <w:spacing w:line="400" w:lineRule="exact"/>
        <w:ind w:firstLine="484" w:firstLineChars="241"/>
        <w:rPr>
          <w:rFonts w:hint="eastAsia" w:ascii="宋体" w:hAnsi="宋体" w:eastAsia="宋体" w:cs="宋体"/>
          <w:b/>
          <w:color w:val="auto"/>
          <w:sz w:val="20"/>
          <w:szCs w:val="20"/>
        </w:rPr>
      </w:pPr>
      <w:r>
        <w:rPr>
          <w:rFonts w:hint="eastAsia" w:ascii="宋体" w:hAnsi="宋体" w:eastAsia="宋体" w:cs="宋体"/>
          <w:b/>
          <w:color w:val="auto"/>
          <w:sz w:val="20"/>
          <w:szCs w:val="20"/>
        </w:rPr>
        <w:t>3.</w:t>
      </w:r>
      <w:r>
        <w:rPr>
          <w:rFonts w:hint="eastAsia" w:ascii="宋体" w:hAnsi="宋体" w:eastAsia="宋体" w:cs="宋体"/>
          <w:b/>
          <w:color w:val="auto"/>
          <w:sz w:val="20"/>
          <w:szCs w:val="20"/>
          <w:lang w:val="en-US" w:eastAsia="zh-CN"/>
        </w:rPr>
        <w:t>3</w:t>
      </w:r>
      <w:r>
        <w:rPr>
          <w:rFonts w:hint="eastAsia" w:ascii="宋体" w:hAnsi="宋体" w:eastAsia="宋体" w:cs="宋体"/>
          <w:b/>
          <w:color w:val="auto"/>
          <w:sz w:val="20"/>
          <w:szCs w:val="20"/>
        </w:rPr>
        <w:t>招标文件中资格审查中涉及到的投标人需要提供企业的相关证书</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，如企业的资格证书、营业执照（或三证合一的有效证件）等可以提供公证件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，公证件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的效力等同于原件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。交易活动资格审查和评标环节中，凡是要求提供相关证书或证明原件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的，投标企业均可以提供带官方二维码的相关证书（证明）复印件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替代原件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，但投标企业自行承担复印件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二维码不清晰，无法扫描，可能导致资格审查不通过的后果。</w:t>
      </w:r>
    </w:p>
    <w:p>
      <w:pPr>
        <w:wordWrap w:val="0"/>
        <w:overflowPunct w:val="0"/>
        <w:spacing w:line="440" w:lineRule="exact"/>
        <w:ind w:firstLine="295" w:firstLineChars="147"/>
        <w:rPr>
          <w:rFonts w:hint="eastAsia" w:ascii="宋体" w:hAnsi="宋体" w:eastAsia="宋体" w:cs="宋体"/>
          <w:b/>
          <w:color w:val="auto"/>
          <w:sz w:val="20"/>
          <w:szCs w:val="20"/>
        </w:rPr>
      </w:pPr>
      <w:r>
        <w:rPr>
          <w:rFonts w:hint="eastAsia" w:ascii="宋体" w:hAnsi="宋体" w:eastAsia="宋体" w:cs="宋体"/>
          <w:b/>
          <w:color w:val="auto"/>
          <w:sz w:val="20"/>
          <w:szCs w:val="20"/>
        </w:rPr>
        <w:t>4.符合性审查</w:t>
      </w:r>
    </w:p>
    <w:p>
      <w:pPr>
        <w:wordWrap w:val="0"/>
        <w:overflowPunct w:val="0"/>
        <w:spacing w:line="44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4．1评审细则</w:t>
      </w:r>
    </w:p>
    <w:tbl>
      <w:tblPr>
        <w:tblStyle w:val="3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ign w:val="center"/>
          </w:tcPr>
          <w:p>
            <w:pPr>
              <w:wordWrap w:val="0"/>
              <w:overflowPunct w:val="0"/>
              <w:spacing w:line="320" w:lineRule="atLeas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4135" w:type="dxa"/>
            <w:gridSpan w:val="2"/>
            <w:noWrap/>
            <w:vAlign w:val="center"/>
          </w:tcPr>
          <w:p>
            <w:pPr>
              <w:wordWrap w:val="0"/>
              <w:overflowPunct w:val="0"/>
              <w:spacing w:line="320" w:lineRule="atLeas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审查因素</w:t>
            </w:r>
          </w:p>
        </w:tc>
        <w:tc>
          <w:tcPr>
            <w:tcW w:w="4173" w:type="dxa"/>
            <w:noWrap/>
            <w:vAlign w:val="center"/>
          </w:tcPr>
          <w:p>
            <w:pPr>
              <w:wordWrap w:val="0"/>
              <w:overflowPunct w:val="0"/>
              <w:spacing w:line="320" w:lineRule="atLeas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204" w:type="dxa"/>
            <w:vMerge w:val="restart"/>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投标文件的有效 性</w:t>
            </w: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（1）投标文件签署</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（2）投标方案</w:t>
            </w:r>
          </w:p>
        </w:tc>
        <w:tc>
          <w:tcPr>
            <w:tcW w:w="4173"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rPr>
              <w:t>（3）报价唯一</w:t>
            </w:r>
          </w:p>
        </w:tc>
        <w:tc>
          <w:tcPr>
            <w:tcW w:w="4173"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lang w:val="zh-CN"/>
              </w:rPr>
              <w:t>只能在限价范围内报价，</w:t>
            </w:r>
            <w:r>
              <w:rPr>
                <w:rFonts w:hint="eastAsia" w:ascii="宋体" w:hAnsi="宋体" w:eastAsia="宋体" w:cs="宋体"/>
                <w:color w:val="auto"/>
                <w:sz w:val="20"/>
                <w:szCs w:val="2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rPr>
              <w:t xml:space="preserve"> (4) 投标文件的有效期</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1204" w:type="dxa"/>
            <w:vMerge w:val="restart"/>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投标文件的完整 性</w:t>
            </w:r>
          </w:p>
        </w:tc>
        <w:tc>
          <w:tcPr>
            <w:tcW w:w="2931"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lang w:val="zh-CN"/>
              </w:rPr>
              <w:t>（5）投标文件份数</w:t>
            </w:r>
          </w:p>
        </w:tc>
        <w:tc>
          <w:tcPr>
            <w:tcW w:w="4173"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000000"/>
                <w:sz w:val="20"/>
                <w:szCs w:val="20"/>
              </w:rPr>
              <w:t>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（6）投标文件形式内容</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1204" w:type="dxa"/>
            <w:vMerge w:val="restart"/>
            <w:noWrap/>
            <w:vAlign w:val="center"/>
          </w:tcPr>
          <w:p>
            <w:pPr>
              <w:wordWrap w:val="0"/>
              <w:overflowPunct w:val="0"/>
              <w:spacing w:line="320" w:lineRule="atLeast"/>
              <w:jc w:val="center"/>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投标文件的响应程度</w:t>
            </w: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（7）技术参数响应程度</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最大限度地满足招标文件要求（除必须满足项外）。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（8）商务条款响应程度（包括不限于供货期、售后服务、技术培训等）</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响应招标文件要求。</w:t>
            </w:r>
          </w:p>
        </w:tc>
      </w:tr>
    </w:tbl>
    <w:p>
      <w:pPr>
        <w:wordWrap w:val="0"/>
        <w:overflowPunct w:val="0"/>
        <w:spacing w:line="400" w:lineRule="exact"/>
        <w:ind w:firstLine="482" w:firstLineChars="241"/>
        <w:rPr>
          <w:rFonts w:hint="eastAsia" w:ascii="宋体" w:hAnsi="宋体" w:eastAsia="宋体" w:cs="宋体"/>
          <w:color w:val="auto"/>
          <w:sz w:val="20"/>
          <w:szCs w:val="20"/>
        </w:rPr>
      </w:pPr>
      <w:r>
        <w:rPr>
          <w:rFonts w:hint="eastAsia" w:ascii="宋体" w:hAnsi="宋体" w:eastAsia="宋体" w:cs="宋体"/>
          <w:color w:val="auto"/>
          <w:sz w:val="20"/>
          <w:szCs w:val="20"/>
        </w:rPr>
        <w:t>4.2资格审查及评分细则中涉及的有关证明材料及相关证书，投标文件中须按招标文件要求</w:t>
      </w:r>
      <w:r>
        <w:rPr>
          <w:rFonts w:hint="eastAsia" w:ascii="宋体" w:hAnsi="宋体" w:eastAsia="宋体" w:cs="宋体"/>
          <w:color w:val="auto"/>
          <w:sz w:val="20"/>
          <w:szCs w:val="20"/>
          <w:lang w:val="en-US" w:eastAsia="zh-CN"/>
        </w:rPr>
        <w:t>递交，</w:t>
      </w:r>
      <w:r>
        <w:rPr>
          <w:rFonts w:hint="eastAsia" w:ascii="宋体" w:hAnsi="宋体" w:eastAsia="宋体" w:cs="宋体"/>
          <w:color w:val="auto"/>
          <w:sz w:val="20"/>
          <w:szCs w:val="20"/>
        </w:rPr>
        <w:t>以供审查。</w:t>
      </w:r>
    </w:p>
    <w:p>
      <w:pPr>
        <w:wordWrap w:val="0"/>
        <w:overflowPunct w:val="0"/>
        <w:spacing w:line="400" w:lineRule="exact"/>
        <w:ind w:firstLine="482" w:firstLineChars="241"/>
        <w:rPr>
          <w:rFonts w:hint="eastAsia" w:ascii="宋体" w:hAnsi="宋体" w:eastAsia="宋体" w:cs="宋体"/>
          <w:color w:val="auto"/>
          <w:sz w:val="20"/>
          <w:szCs w:val="20"/>
        </w:rPr>
      </w:pPr>
      <w:r>
        <w:rPr>
          <w:rFonts w:hint="eastAsia" w:ascii="宋体" w:hAnsi="宋体" w:eastAsia="宋体" w:cs="宋体"/>
          <w:color w:val="auto"/>
          <w:sz w:val="20"/>
          <w:szCs w:val="20"/>
        </w:rPr>
        <w:t>4.3．评标委员会判定投标文件的响应性只根据投标文件本身的内容，而不寻求外部的证据，但投标有不真实不正确的内容时除外。</w:t>
      </w:r>
    </w:p>
    <w:p>
      <w:pPr>
        <w:wordWrap w:val="0"/>
        <w:overflowPunct w:val="0"/>
        <w:spacing w:line="400" w:lineRule="exact"/>
        <w:ind w:firstLine="482" w:firstLineChars="241"/>
        <w:rPr>
          <w:rFonts w:hint="eastAsia" w:ascii="宋体" w:hAnsi="宋体" w:eastAsia="宋体" w:cs="宋体"/>
          <w:color w:val="auto"/>
          <w:sz w:val="20"/>
          <w:szCs w:val="20"/>
        </w:rPr>
      </w:pPr>
      <w:r>
        <w:rPr>
          <w:rFonts w:hint="eastAsia" w:ascii="宋体" w:hAnsi="宋体" w:eastAsia="宋体" w:cs="宋体"/>
          <w:color w:val="auto"/>
          <w:sz w:val="20"/>
          <w:szCs w:val="20"/>
        </w:rPr>
        <w:t>4.4如果投标文件实质上没有响应招标文件的要求，评标委员会将予以拒绝，投标人不得通过修正或撤销不符合要求的偏离或保留，而使其投标成为实质上响应的投标。</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 xml:space="preserve"> 4.5投标人可在现场20分钟内对评标委员会的评审结论提出质疑，评标委员会根据招标文件及有关规定对投标人的质疑进行复议。</w:t>
      </w:r>
    </w:p>
    <w:p>
      <w:pPr>
        <w:wordWrap w:val="0"/>
        <w:overflowPunct w:val="0"/>
        <w:spacing w:line="40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4.6只有通过初审的投标人才能进入下一步程序。</w:t>
      </w:r>
    </w:p>
    <w:p>
      <w:pPr>
        <w:wordWrap w:val="0"/>
        <w:overflowPunct w:val="0"/>
        <w:spacing w:line="400" w:lineRule="exact"/>
        <w:rPr>
          <w:rFonts w:hint="eastAsia" w:ascii="宋体" w:hAnsi="宋体" w:eastAsia="宋体" w:cs="宋体"/>
          <w:b/>
          <w:color w:val="auto"/>
          <w:sz w:val="20"/>
          <w:szCs w:val="20"/>
        </w:rPr>
      </w:pPr>
      <w:r>
        <w:rPr>
          <w:rFonts w:hint="eastAsia" w:ascii="宋体" w:hAnsi="宋体" w:eastAsia="宋体" w:cs="宋体"/>
          <w:b/>
          <w:color w:val="auto"/>
          <w:sz w:val="20"/>
          <w:szCs w:val="20"/>
        </w:rPr>
        <w:t>温馨提示：</w:t>
      </w:r>
    </w:p>
    <w:p>
      <w:pPr>
        <w:wordWrap w:val="0"/>
        <w:overflowPunct w:val="0"/>
        <w:spacing w:line="400" w:lineRule="exact"/>
        <w:ind w:firstLine="402" w:firstLineChars="200"/>
        <w:rPr>
          <w:rFonts w:hint="eastAsia" w:ascii="宋体" w:hAnsi="宋体" w:eastAsia="宋体" w:cs="宋体"/>
          <w:color w:val="auto"/>
          <w:sz w:val="20"/>
          <w:szCs w:val="20"/>
        </w:rPr>
      </w:pPr>
      <w:r>
        <w:rPr>
          <w:rFonts w:hint="eastAsia" w:ascii="宋体" w:hAnsi="宋体" w:eastAsia="宋体" w:cs="宋体"/>
          <w:b/>
          <w:color w:val="auto"/>
          <w:sz w:val="20"/>
          <w:szCs w:val="20"/>
        </w:rPr>
        <w:t>投标文件资格审查资料请精心准备,如评标专家在检验投标文件过程中，如果由于投标人自身原因导致评标专家无法查看并检验投标文件中以上相关资料的，按无效投标处理。即使投标人将原件携带至现场的，同样按无效投标处理。</w:t>
      </w:r>
    </w:p>
    <w:p>
      <w:pPr>
        <w:wordWrap w:val="0"/>
        <w:overflowPunct w:val="0"/>
        <w:spacing w:line="400" w:lineRule="exact"/>
        <w:jc w:val="center"/>
        <w:outlineLvl w:val="1"/>
        <w:rPr>
          <w:rFonts w:hint="eastAsia" w:ascii="宋体" w:hAnsi="宋体" w:eastAsia="宋体" w:cs="宋体"/>
          <w:b/>
          <w:color w:val="auto"/>
          <w:sz w:val="22"/>
          <w:szCs w:val="22"/>
        </w:rPr>
      </w:pPr>
      <w:bookmarkStart w:id="72" w:name="_Toc58430319"/>
      <w:bookmarkStart w:id="73" w:name="_Toc449028879"/>
      <w:bookmarkStart w:id="74" w:name="_Toc362983803"/>
      <w:r>
        <w:rPr>
          <w:rFonts w:hint="eastAsia" w:ascii="宋体" w:hAnsi="宋体" w:eastAsia="宋体" w:cs="宋体"/>
          <w:b/>
          <w:color w:val="auto"/>
          <w:sz w:val="24"/>
          <w:szCs w:val="24"/>
        </w:rPr>
        <w:t>三、</w:t>
      </w:r>
      <w:r>
        <w:rPr>
          <w:rFonts w:hint="eastAsia" w:ascii="宋体" w:hAnsi="宋体" w:eastAsia="宋体" w:cs="宋体"/>
          <w:b/>
          <w:color w:val="auto"/>
          <w:sz w:val="22"/>
          <w:szCs w:val="22"/>
        </w:rPr>
        <w:t>投标文件的澄清和补正</w:t>
      </w:r>
      <w:bookmarkEnd w:id="72"/>
      <w:bookmarkEnd w:id="73"/>
      <w:bookmarkEnd w:id="74"/>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eastAsia="宋体" w:cs="宋体"/>
          <w:b/>
          <w:bCs/>
          <w:color w:val="auto"/>
          <w:sz w:val="20"/>
          <w:szCs w:val="20"/>
        </w:rPr>
        <w:t>如因投标人未参加开标导致开评标过程中无法澄清、说明或补正的，视同投标人放弃该权利。</w:t>
      </w:r>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评委会修正错误的原则：</w:t>
      </w:r>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1如果数字表示的金额和用文字表示的金额不一致时，以文字表示的金额为准；当投标数量与招标数量不一致时，以招标数量为准；当分项报价清单、投标函的投标报价与开标一览表不一致时，以开标一览表为准。</w:t>
      </w:r>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.2如果单价与数量的乘积和总价不一致，以单价为准，修正总价及开标一览表；当单价小数点有明显的错位时，评委会将以总价为准，并修正其单价；投标的数量与招标的数量不一致时，以招标数量为准。</w:t>
      </w:r>
    </w:p>
    <w:p>
      <w:pPr>
        <w:wordWrap w:val="0"/>
        <w:overflowPunct w:val="0"/>
        <w:spacing w:line="400" w:lineRule="exact"/>
        <w:ind w:firstLine="384" w:firstLineChars="192"/>
        <w:rPr>
          <w:rFonts w:hint="eastAsia" w:ascii="宋体" w:hAnsi="宋体" w:eastAsia="宋体" w:cs="宋体"/>
          <w:b/>
          <w:color w:val="auto"/>
          <w:sz w:val="22"/>
          <w:szCs w:val="22"/>
        </w:rPr>
      </w:pPr>
      <w:r>
        <w:rPr>
          <w:rFonts w:hint="eastAsia" w:ascii="宋体" w:hAnsi="宋体" w:eastAsia="宋体" w:cs="宋体"/>
          <w:color w:val="auto"/>
          <w:sz w:val="20"/>
          <w:szCs w:val="20"/>
        </w:rPr>
        <w:t xml:space="preserve"> 5.</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p>
      <w:pPr>
        <w:rPr>
          <w:rFonts w:hint="eastAsia" w:ascii="宋体" w:hAnsi="宋体" w:eastAsia="宋体" w:cs="宋体"/>
          <w:b/>
          <w:color w:val="auto"/>
          <w:sz w:val="22"/>
          <w:szCs w:val="22"/>
        </w:rPr>
      </w:pPr>
    </w:p>
    <w:bookmarkEnd w:id="38"/>
    <w:p>
      <w:pPr>
        <w:wordWrap w:val="0"/>
        <w:overflowPunct w:val="0"/>
        <w:spacing w:line="400" w:lineRule="exact"/>
        <w:jc w:val="center"/>
        <w:outlineLvl w:val="1"/>
        <w:rPr>
          <w:rFonts w:hint="eastAsia" w:ascii="宋体" w:hAnsi="宋体" w:eastAsia="宋体" w:cs="宋体"/>
          <w:b/>
          <w:color w:val="auto"/>
          <w:sz w:val="22"/>
          <w:szCs w:val="22"/>
        </w:rPr>
      </w:pPr>
      <w:bookmarkStart w:id="75" w:name="_Toc58430321"/>
      <w:r>
        <w:rPr>
          <w:rFonts w:hint="eastAsia" w:ascii="宋体" w:hAnsi="宋体" w:eastAsia="宋体" w:cs="宋体"/>
          <w:b/>
          <w:color w:val="auto"/>
          <w:sz w:val="22"/>
          <w:szCs w:val="22"/>
        </w:rPr>
        <w:t>五、推荐中标候选人</w:t>
      </w:r>
      <w:bookmarkEnd w:id="75"/>
    </w:p>
    <w:p>
      <w:pPr>
        <w:wordWrap w:val="0"/>
        <w:overflowPunct w:val="0"/>
        <w:snapToGrid w:val="0"/>
        <w:spacing w:line="400" w:lineRule="exact"/>
        <w:ind w:firstLine="57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.评标委员会按</w:t>
      </w:r>
      <w:r>
        <w:rPr>
          <w:rFonts w:hint="eastAsia" w:ascii="宋体" w:hAnsi="宋体" w:eastAsia="宋体" w:cs="宋体"/>
          <w:color w:val="auto"/>
          <w:sz w:val="20"/>
          <w:szCs w:val="20"/>
          <w:lang w:val="en-US" w:eastAsia="zh-CN"/>
        </w:rPr>
        <w:t>有效报价</w:t>
      </w:r>
      <w:r>
        <w:rPr>
          <w:rFonts w:hint="eastAsia" w:ascii="宋体" w:hAnsi="宋体" w:eastAsia="宋体" w:cs="宋体"/>
          <w:color w:val="auto"/>
          <w:sz w:val="20"/>
          <w:szCs w:val="20"/>
        </w:rPr>
        <w:t>，从</w:t>
      </w:r>
      <w:r>
        <w:rPr>
          <w:rFonts w:hint="eastAsia" w:ascii="宋体" w:hAnsi="宋体" w:eastAsia="宋体" w:cs="宋体"/>
          <w:color w:val="auto"/>
          <w:sz w:val="20"/>
          <w:szCs w:val="20"/>
          <w:lang w:val="en-US" w:eastAsia="zh-CN"/>
        </w:rPr>
        <w:t>低</w:t>
      </w:r>
      <w:r>
        <w:rPr>
          <w:rFonts w:hint="eastAsia" w:ascii="宋体" w:hAnsi="宋体" w:eastAsia="宋体" w:cs="宋体"/>
          <w:color w:val="auto"/>
          <w:sz w:val="20"/>
          <w:szCs w:val="20"/>
        </w:rPr>
        <w:t>到</w:t>
      </w:r>
      <w:r>
        <w:rPr>
          <w:rFonts w:hint="eastAsia" w:ascii="宋体" w:hAnsi="宋体" w:eastAsia="宋体" w:cs="宋体"/>
          <w:color w:val="auto"/>
          <w:sz w:val="20"/>
          <w:szCs w:val="20"/>
          <w:lang w:val="en-US" w:eastAsia="zh-CN"/>
        </w:rPr>
        <w:t>高</w:t>
      </w:r>
      <w:r>
        <w:rPr>
          <w:rFonts w:hint="eastAsia" w:ascii="宋体" w:hAnsi="宋体" w:eastAsia="宋体" w:cs="宋体"/>
          <w:color w:val="auto"/>
          <w:sz w:val="20"/>
          <w:szCs w:val="20"/>
        </w:rPr>
        <w:t>按顺序，推荐</w:t>
      </w:r>
      <w:r>
        <w:rPr>
          <w:rFonts w:hint="eastAsia" w:ascii="宋体" w:hAnsi="宋体" w:cs="宋体"/>
          <w:color w:val="auto"/>
          <w:sz w:val="20"/>
          <w:szCs w:val="20"/>
          <w:u w:val="single"/>
          <w:lang w:val="en-US" w:eastAsia="zh-CN"/>
        </w:rPr>
        <w:t>1</w:t>
      </w:r>
      <w:r>
        <w:rPr>
          <w:rFonts w:hint="eastAsia" w:ascii="宋体" w:hAnsi="宋体" w:eastAsia="宋体" w:cs="宋体"/>
          <w:color w:val="auto"/>
          <w:sz w:val="20"/>
          <w:szCs w:val="20"/>
        </w:rPr>
        <w:t>名中标候选人。</w:t>
      </w:r>
    </w:p>
    <w:p>
      <w:pPr>
        <w:wordWrap w:val="0"/>
        <w:overflowPunct w:val="0"/>
        <w:snapToGrid w:val="0"/>
        <w:spacing w:line="400" w:lineRule="exact"/>
        <w:ind w:firstLine="57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.1报价相同的并列，由采购人现场采取随机摇号的方式确定中标候选人。</w:t>
      </w:r>
    </w:p>
    <w:p>
      <w:pPr>
        <w:wordWrap w:val="0"/>
        <w:overflowPunct w:val="0"/>
        <w:snapToGrid w:val="0"/>
        <w:spacing w:line="400" w:lineRule="exact"/>
        <w:ind w:firstLine="57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.2在同等条件、同等价格的情况下，所投产品为节能产品、环境标志产品或节能产品、环境标志产品数量多者优先。</w:t>
      </w:r>
    </w:p>
    <w:p>
      <w:pPr>
        <w:wordWrap w:val="0"/>
        <w:overflowPunct w:val="0"/>
        <w:snapToGrid w:val="0"/>
        <w:spacing w:line="500" w:lineRule="exact"/>
        <w:ind w:firstLine="400" w:firstLineChars="200"/>
        <w:rPr>
          <w:rFonts w:hint="eastAsia" w:ascii="宋体" w:hAnsi="宋体" w:eastAsia="宋体" w:cs="宋体"/>
          <w:color w:val="auto"/>
          <w:sz w:val="20"/>
          <w:szCs w:val="20"/>
        </w:rPr>
      </w:pPr>
      <w:bookmarkStart w:id="76" w:name="_Hlk61815781"/>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 投标人有下列情形之一的</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详细评审后其投标按无效投标处理：</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(1)投标产品不符合必须强制执行的国家标准的；</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(2)投标人有串通投标、弄虚作假、行贿等违法行为；</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(3)投标文件含有违反国家法律、法规的内容，或附有采购人不能接受的条件的；</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(4)在同一项目（或同一标段）中有多个投标人有效投标报价接近最高限价，且评标委员会认为报价出现异常的，可以宣布其投标无效；</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(5)报价明显低于其他投标人，且不能证明报价合理性的投标无效；</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(6)拒不确认评标委员会评审修正的投标无效；</w:t>
      </w:r>
    </w:p>
    <w:p>
      <w:pPr>
        <w:wordWrap w:val="0"/>
        <w:overflowPunct w:val="0"/>
        <w:snapToGrid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(7)其它情形，经评标委员会委提出按无效投标处理，并经公共资源交易监督部门核准的；</w:t>
      </w:r>
    </w:p>
    <w:p>
      <w:pPr>
        <w:wordWrap w:val="0"/>
        <w:overflowPunct w:val="0"/>
        <w:snapToGrid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(8)招标文件规定的其它无效投标情形。</w:t>
      </w:r>
      <w:bookmarkEnd w:id="76"/>
    </w:p>
    <w:p>
      <w:pPr>
        <w:pageBreakBefore/>
        <w:jc w:val="center"/>
        <w:outlineLvl w:val="0"/>
        <w:rPr>
          <w:rFonts w:hint="eastAsia" w:ascii="宋体" w:hAnsi="宋体" w:eastAsia="宋体" w:cs="宋体"/>
          <w:color w:val="auto"/>
          <w:sz w:val="28"/>
          <w:szCs w:val="28"/>
        </w:rPr>
        <w:sectPr>
          <w:headerReference r:id="rId8" w:type="default"/>
          <w:footerReference r:id="rId9" w:type="default"/>
          <w:pgSz w:w="11906" w:h="16838"/>
          <w:pgMar w:top="1440" w:right="1803" w:bottom="1440" w:left="1803" w:header="851" w:footer="992" w:gutter="0"/>
          <w:cols w:space="720" w:num="1"/>
          <w:docGrid w:type="lines" w:linePitch="332" w:charSpace="0"/>
        </w:sectPr>
      </w:pPr>
      <w:bookmarkStart w:id="77" w:name="_Toc4493"/>
      <w:bookmarkStart w:id="78" w:name="_Toc514749292"/>
    </w:p>
    <w:p>
      <w:pPr>
        <w:pageBreakBefore/>
        <w:jc w:val="center"/>
        <w:outlineLvl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第四章  </w:t>
      </w:r>
      <w:bookmarkEnd w:id="39"/>
      <w:bookmarkEnd w:id="77"/>
      <w:bookmarkEnd w:id="78"/>
      <w:r>
        <w:rPr>
          <w:rFonts w:hint="eastAsia" w:ascii="宋体" w:hAnsi="宋体" w:eastAsia="宋体" w:cs="宋体"/>
          <w:color w:val="auto"/>
          <w:sz w:val="28"/>
          <w:szCs w:val="28"/>
          <w:lang w:eastAsia="zh-CN"/>
        </w:rPr>
        <w:t>采购内容及服务要求</w:t>
      </w:r>
      <w:bookmarkStart w:id="79" w:name="_Toc508963307"/>
      <w:bookmarkStart w:id="80" w:name="_Toc28938"/>
      <w:bookmarkStart w:id="81" w:name="_Toc449028945"/>
      <w:r>
        <w:rPr>
          <w:rFonts w:hint="eastAsia" w:ascii="宋体" w:hAnsi="宋体" w:eastAsia="宋体" w:cs="宋体"/>
          <w:color w:val="auto"/>
          <w:sz w:val="28"/>
          <w:szCs w:val="28"/>
          <w:lang w:eastAsia="zh-CN"/>
        </w:rPr>
        <w:br w:type="textWrapping"/>
      </w:r>
      <w:r>
        <w:rPr>
          <w:rFonts w:hint="eastAsia" w:ascii="宋体" w:hAnsi="宋体" w:eastAsia="宋体" w:cs="宋体"/>
          <w:color w:val="auto"/>
          <w:sz w:val="28"/>
          <w:szCs w:val="28"/>
          <w:lang w:val="en-US" w:eastAsia="zh-CN"/>
        </w:rPr>
        <w:t>采购需求</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 w:eastAsia="zh-CN"/>
        </w:rPr>
      </w:pPr>
      <w:r>
        <w:rPr>
          <w:rFonts w:hint="eastAsia" w:ascii="宋体" w:hAnsi="宋体" w:eastAsia="宋体" w:cs="宋体"/>
          <w:sz w:val="24"/>
          <w:szCs w:val="24"/>
          <w:lang w:val="en" w:eastAsia="zh-CN"/>
        </w:rPr>
        <w:t>暑期前沿科技公益科普课（青少年人工智能），以青少年人工智能与编程实践活动为载体，在学习人工智能科普课程、设计制作人工智能与编程作品基础上，向广大青少年普及推广编程与智能设计相关科普知识和技能，进一步提高青少年对人工智能的认知和初步应用能力。课程将创客文化和教育结合，基于学生兴趣，以项目学习的方式，使用数字化工具，通过机器人套装搭建以及电脑编程激发和锻炼青少年的创造力、动手能力、沟通能力和团队协作能力，引导青少年系统化学习科学、技术、工程、艺术和数学等多学科知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 w:eastAsia="zh-CN"/>
        </w:rPr>
      </w:pPr>
      <w:r>
        <w:rPr>
          <w:rFonts w:hint="eastAsia" w:ascii="宋体" w:hAnsi="宋体" w:eastAsia="宋体" w:cs="宋体"/>
          <w:sz w:val="24"/>
          <w:szCs w:val="24"/>
          <w:lang w:val="en" w:eastAsia="zh-CN"/>
        </w:rPr>
        <w:t>为了更好体现课程服务的统一性，需要课程辅助设备一批（包含：订制T恤，订制帆布包，学员证制作，结业证书制作等）。</w:t>
      </w:r>
    </w:p>
    <w:p>
      <w:pPr>
        <w:keepNext w:val="0"/>
        <w:keepLines w:val="0"/>
        <w:pageBreakBefore w:val="0"/>
        <w:widowControl w:val="0"/>
        <w:tabs>
          <w:tab w:val="left" w:pos="0"/>
        </w:tabs>
        <w:kinsoku/>
        <w:wordWrap/>
        <w:overflowPunct/>
        <w:topLinePunct w:val="0"/>
        <w:autoSpaceDE/>
        <w:autoSpaceDN/>
        <w:bidi w:val="0"/>
        <w:adjustRightInd/>
        <w:snapToGrid/>
        <w:ind w:left="0" w:firstLine="560" w:firstLineChars="200"/>
        <w:textAlignment w:val="auto"/>
        <w:rPr>
          <w:rFonts w:hint="eastAsia" w:ascii="宋体" w:hAnsi="宋体" w:eastAsia="宋体" w:cs="宋体"/>
          <w:sz w:val="28"/>
          <w:szCs w:val="28"/>
          <w:lang w:val="en" w:eastAsia="zh-CN"/>
        </w:rPr>
      </w:pPr>
      <w:r>
        <w:rPr>
          <w:rFonts w:hint="eastAsia" w:ascii="宋体" w:hAnsi="宋体" w:eastAsia="宋体" w:cs="宋体"/>
          <w:sz w:val="28"/>
          <w:szCs w:val="28"/>
          <w:lang w:val="en" w:eastAsia="zh-CN"/>
        </w:rPr>
        <w:t>一、服务内容</w:t>
      </w:r>
    </w:p>
    <w:p>
      <w:pPr>
        <w:keepNext w:val="0"/>
        <w:keepLines w:val="0"/>
        <w:pageBreakBefore w:val="0"/>
        <w:widowControl w:val="0"/>
        <w:tabs>
          <w:tab w:val="left" w:pos="0"/>
        </w:tabs>
        <w:kinsoku/>
        <w:wordWrap/>
        <w:overflowPunct/>
        <w:topLinePunct w:val="0"/>
        <w:autoSpaceDE/>
        <w:autoSpaceDN/>
        <w:bidi w:val="0"/>
        <w:adjustRightInd/>
        <w:snapToGrid/>
        <w:ind w:left="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1.创客机器人课程开设意向表</w:t>
      </w:r>
    </w:p>
    <w:tbl>
      <w:tblPr>
        <w:tblStyle w:val="34"/>
        <w:tblW w:w="8597"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98"/>
        <w:gridCol w:w="709"/>
        <w:gridCol w:w="4110"/>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20" w:type="dxa"/>
            <w:noWrap w:val="0"/>
            <w:vAlign w:val="center"/>
          </w:tcPr>
          <w:p>
            <w:pPr>
              <w:spacing w:line="240" w:lineRule="atLeas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498" w:type="dxa"/>
            <w:noWrap w:val="0"/>
            <w:vAlign w:val="center"/>
          </w:tcPr>
          <w:p>
            <w:pPr>
              <w:spacing w:line="240" w:lineRule="atLeast"/>
              <w:jc w:val="center"/>
              <w:rPr>
                <w:rFonts w:hint="eastAsia" w:ascii="宋体" w:hAnsi="宋体" w:eastAsia="宋体" w:cs="宋体"/>
                <w:b/>
                <w:sz w:val="24"/>
                <w:szCs w:val="24"/>
              </w:rPr>
            </w:pPr>
            <w:r>
              <w:rPr>
                <w:rFonts w:hint="eastAsia" w:ascii="宋体" w:hAnsi="宋体" w:eastAsia="宋体" w:cs="宋体"/>
                <w:b/>
                <w:sz w:val="24"/>
                <w:szCs w:val="24"/>
              </w:rPr>
              <w:t>课程名称</w:t>
            </w:r>
          </w:p>
        </w:tc>
        <w:tc>
          <w:tcPr>
            <w:tcW w:w="4819" w:type="dxa"/>
            <w:gridSpan w:val="2"/>
            <w:noWrap w:val="0"/>
            <w:vAlign w:val="center"/>
          </w:tcPr>
          <w:p>
            <w:pPr>
              <w:spacing w:line="240" w:lineRule="atLeast"/>
              <w:jc w:val="center"/>
              <w:rPr>
                <w:rFonts w:hint="eastAsia" w:ascii="宋体" w:hAnsi="宋体" w:eastAsia="宋体" w:cs="宋体"/>
                <w:b/>
                <w:sz w:val="24"/>
                <w:szCs w:val="24"/>
              </w:rPr>
            </w:pPr>
            <w:r>
              <w:rPr>
                <w:rFonts w:hint="eastAsia" w:ascii="宋体" w:hAnsi="宋体" w:eastAsia="宋体" w:cs="宋体"/>
                <w:b/>
                <w:sz w:val="24"/>
                <w:szCs w:val="24"/>
              </w:rPr>
              <w:t xml:space="preserve"> 内容</w:t>
            </w:r>
          </w:p>
        </w:tc>
        <w:tc>
          <w:tcPr>
            <w:tcW w:w="709" w:type="dxa"/>
            <w:noWrap w:val="0"/>
            <w:vAlign w:val="center"/>
          </w:tcPr>
          <w:p>
            <w:pPr>
              <w:spacing w:line="240" w:lineRule="atLeast"/>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851" w:type="dxa"/>
            <w:noWrap w:val="0"/>
            <w:vAlign w:val="center"/>
          </w:tcPr>
          <w:p>
            <w:pPr>
              <w:spacing w:line="240" w:lineRule="atLeast"/>
              <w:jc w:val="center"/>
              <w:rPr>
                <w:rFonts w:hint="eastAsia" w:ascii="宋体" w:hAnsi="宋体" w:eastAsia="宋体" w:cs="宋体"/>
                <w:b/>
                <w:sz w:val="24"/>
                <w:szCs w:val="24"/>
              </w:rPr>
            </w:pPr>
            <w:r>
              <w:rPr>
                <w:rFonts w:hint="eastAsia" w:ascii="宋体" w:hAnsi="宋体" w:eastAsia="宋体" w:cs="宋体"/>
                <w:b/>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trPr>
        <w:tc>
          <w:tcPr>
            <w:tcW w:w="720"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98" w:type="dxa"/>
            <w:vMerge w:val="restart"/>
            <w:noWrap w:val="0"/>
            <w:vAlign w:val="center"/>
          </w:tcPr>
          <w:p>
            <w:pPr>
              <w:tabs>
                <w:tab w:val="left" w:pos="0"/>
              </w:tabs>
              <w:ind w:left="4" w:hanging="4"/>
              <w:jc w:val="center"/>
              <w:rPr>
                <w:rFonts w:hint="eastAsia" w:ascii="宋体" w:hAnsi="宋体" w:eastAsia="宋体" w:cs="宋体"/>
                <w:sz w:val="24"/>
                <w:szCs w:val="24"/>
                <w:lang w:val="en-US" w:eastAsia="zh-CN"/>
              </w:rPr>
            </w:pPr>
            <w:r>
              <w:rPr>
                <w:rFonts w:hint="eastAsia" w:ascii="宋体" w:hAnsi="宋体" w:eastAsia="宋体" w:cs="宋体"/>
                <w:sz w:val="24"/>
                <w:szCs w:val="24"/>
                <w:lang w:val="en" w:eastAsia="zh-CN"/>
              </w:rPr>
              <w:t>暑期前沿科技公益科普课（青少年人工智能）</w:t>
            </w:r>
          </w:p>
        </w:tc>
        <w:tc>
          <w:tcPr>
            <w:tcW w:w="709" w:type="dxa"/>
            <w:noWrap w:val="0"/>
            <w:vAlign w:val="center"/>
          </w:tcPr>
          <w:p>
            <w:pPr>
              <w:tabs>
                <w:tab w:val="left" w:pos="0"/>
              </w:tabs>
              <w:ind w:left="4" w:hanging="4"/>
              <w:jc w:val="center"/>
              <w:rPr>
                <w:rFonts w:hint="eastAsia" w:ascii="宋体" w:hAnsi="宋体" w:eastAsia="宋体" w:cs="宋体"/>
                <w:sz w:val="24"/>
                <w:szCs w:val="24"/>
              </w:rPr>
            </w:pPr>
            <w:r>
              <w:rPr>
                <w:rFonts w:hint="eastAsia" w:ascii="宋体" w:hAnsi="宋体" w:eastAsia="宋体" w:cs="宋体"/>
                <w:sz w:val="24"/>
                <w:szCs w:val="24"/>
              </w:rPr>
              <w:t>课程</w:t>
            </w:r>
          </w:p>
        </w:tc>
        <w:tc>
          <w:tcPr>
            <w:tcW w:w="4110" w:type="dxa"/>
            <w:noWrap w:val="0"/>
            <w:vAlign w:val="top"/>
          </w:tcPr>
          <w:p>
            <w:pPr>
              <w:tabs>
                <w:tab w:val="left" w:pos="0"/>
              </w:tabs>
              <w:ind w:left="4" w:hanging="4"/>
              <w:rPr>
                <w:rFonts w:hint="eastAsia" w:ascii="宋体" w:hAnsi="宋体" w:eastAsia="宋体" w:cs="宋体"/>
                <w:sz w:val="24"/>
                <w:szCs w:val="24"/>
              </w:rPr>
            </w:pPr>
            <w:r>
              <w:rPr>
                <w:rFonts w:hint="eastAsia" w:ascii="宋体" w:hAnsi="宋体" w:eastAsia="宋体" w:cs="宋体"/>
                <w:sz w:val="24"/>
                <w:szCs w:val="24"/>
              </w:rPr>
              <w:t>1.机器人模型搭建：使用EV3套装零件来建构任务模型，初步学习各种传感器的应用。在学习建构的过程中会学习到齿轮、杠杆、滑轮、轮轴、动力、摩擦力等方面的物理知识。</w:t>
            </w:r>
          </w:p>
          <w:p>
            <w:pPr>
              <w:tabs>
                <w:tab w:val="left" w:pos="0"/>
              </w:tabs>
              <w:ind w:left="4" w:hanging="4"/>
              <w:rPr>
                <w:rFonts w:hint="eastAsia" w:ascii="宋体" w:hAnsi="宋体" w:eastAsia="宋体" w:cs="宋体"/>
                <w:sz w:val="24"/>
                <w:szCs w:val="24"/>
              </w:rPr>
            </w:pPr>
            <w:r>
              <w:rPr>
                <w:rFonts w:hint="eastAsia" w:ascii="宋体" w:hAnsi="宋体" w:eastAsia="宋体" w:cs="宋体"/>
                <w:sz w:val="24"/>
                <w:szCs w:val="24"/>
              </w:rPr>
              <w:t>2.机器人编程：合理建构不同要求的机器人模型，学习编程中会学习到编程模块的应用、学习编程的逻辑关系、逻辑判断、数据计算、切换、分支、循环、常量、变量等。利用编程来解决问题，提高学员对编程的兴趣。</w:t>
            </w:r>
          </w:p>
        </w:tc>
        <w:tc>
          <w:tcPr>
            <w:tcW w:w="709" w:type="dxa"/>
            <w:noWrap w:val="0"/>
            <w:vAlign w:val="center"/>
          </w:tcPr>
          <w:p>
            <w:pPr>
              <w:tabs>
                <w:tab w:val="left" w:pos="0"/>
              </w:tabs>
              <w:ind w:left="4" w:hanging="4"/>
              <w:jc w:val="center"/>
              <w:rPr>
                <w:rFonts w:hint="eastAsia"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cs="宋体"/>
                <w:sz w:val="24"/>
                <w:szCs w:val="24"/>
                <w:lang w:val="en-US" w:eastAsia="zh-CN"/>
              </w:rPr>
              <w:t>2</w:t>
            </w:r>
          </w:p>
        </w:tc>
        <w:tc>
          <w:tcPr>
            <w:tcW w:w="85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20" w:type="dxa"/>
            <w:vMerge w:val="continue"/>
            <w:noWrap w:val="0"/>
            <w:vAlign w:val="center"/>
          </w:tcPr>
          <w:p>
            <w:pPr>
              <w:jc w:val="center"/>
              <w:rPr>
                <w:rFonts w:hint="eastAsia" w:ascii="宋体" w:hAnsi="宋体" w:eastAsia="宋体" w:cs="宋体"/>
                <w:sz w:val="24"/>
                <w:szCs w:val="24"/>
              </w:rPr>
            </w:pPr>
          </w:p>
        </w:tc>
        <w:tc>
          <w:tcPr>
            <w:tcW w:w="1498" w:type="dxa"/>
            <w:vMerge w:val="continue"/>
            <w:noWrap w:val="0"/>
            <w:vAlign w:val="center"/>
          </w:tcPr>
          <w:p>
            <w:pPr>
              <w:tabs>
                <w:tab w:val="left" w:pos="0"/>
              </w:tabs>
              <w:ind w:left="4" w:hanging="4"/>
              <w:jc w:val="center"/>
              <w:rPr>
                <w:rFonts w:hint="eastAsia" w:ascii="宋体" w:hAnsi="宋体" w:eastAsia="宋体" w:cs="宋体"/>
                <w:sz w:val="24"/>
                <w:szCs w:val="24"/>
              </w:rPr>
            </w:pPr>
          </w:p>
        </w:tc>
        <w:tc>
          <w:tcPr>
            <w:tcW w:w="709" w:type="dxa"/>
            <w:noWrap w:val="0"/>
            <w:vAlign w:val="center"/>
          </w:tcPr>
          <w:p>
            <w:pPr>
              <w:tabs>
                <w:tab w:val="left" w:pos="0"/>
              </w:tabs>
              <w:ind w:left="4" w:hanging="4"/>
              <w:jc w:val="center"/>
              <w:rPr>
                <w:rFonts w:hint="eastAsia" w:ascii="宋体" w:hAnsi="宋体" w:eastAsia="宋体" w:cs="宋体"/>
                <w:sz w:val="24"/>
                <w:szCs w:val="24"/>
              </w:rPr>
            </w:pPr>
            <w:r>
              <w:rPr>
                <w:rFonts w:hint="eastAsia" w:ascii="宋体" w:hAnsi="宋体" w:eastAsia="宋体" w:cs="宋体"/>
                <w:sz w:val="24"/>
                <w:szCs w:val="24"/>
              </w:rPr>
              <w:t>配套器材</w:t>
            </w:r>
          </w:p>
        </w:tc>
        <w:tc>
          <w:tcPr>
            <w:tcW w:w="4110" w:type="dxa"/>
            <w:noWrap w:val="0"/>
            <w:vAlign w:val="top"/>
          </w:tcPr>
          <w:p>
            <w:pPr>
              <w:pStyle w:val="139"/>
              <w:numPr>
                <w:ilvl w:val="0"/>
                <w:numId w:val="8"/>
              </w:numPr>
              <w:tabs>
                <w:tab w:val="left" w:pos="0"/>
              </w:tabs>
              <w:ind w:firstLineChars="0"/>
              <w:rPr>
                <w:rFonts w:hint="eastAsia" w:ascii="宋体" w:hAnsi="宋体" w:eastAsia="宋体" w:cs="宋体"/>
                <w:sz w:val="24"/>
                <w:szCs w:val="24"/>
              </w:rPr>
            </w:pPr>
            <w:r>
              <w:rPr>
                <w:rFonts w:hint="eastAsia" w:ascii="宋体" w:hAnsi="宋体" w:eastAsia="宋体" w:cs="宋体"/>
                <w:sz w:val="24"/>
                <w:szCs w:val="24"/>
              </w:rPr>
              <w:t>产品描述</w:t>
            </w:r>
          </w:p>
          <w:p>
            <w:pPr>
              <w:tabs>
                <w:tab w:val="left" w:pos="0"/>
              </w:tabs>
              <w:rPr>
                <w:rFonts w:hint="eastAsia" w:ascii="宋体" w:hAnsi="宋体" w:eastAsia="宋体" w:cs="宋体"/>
                <w:sz w:val="24"/>
                <w:szCs w:val="24"/>
                <w:lang w:val="en-US"/>
              </w:rPr>
            </w:pPr>
            <w:r>
              <w:rPr>
                <w:rFonts w:hint="eastAsia" w:ascii="宋体" w:hAnsi="宋体" w:eastAsia="宋体" w:cs="宋体"/>
                <w:sz w:val="24"/>
                <w:szCs w:val="24"/>
              </w:rPr>
              <w:t>套装中包含一个坚固的收纳箱，其中有分类托盘，便于课堂管理。套装包含：</w:t>
            </w:r>
            <w:r>
              <w:rPr>
                <w:rFonts w:hint="eastAsia" w:ascii="宋体" w:hAnsi="宋体" w:eastAsia="宋体" w:cs="宋体"/>
                <w:sz w:val="24"/>
                <w:szCs w:val="24"/>
                <w:lang w:val="en-US" w:eastAsia="zh-CN"/>
              </w:rPr>
              <w:t>主控板</w:t>
            </w:r>
            <w:r>
              <w:rPr>
                <w:rFonts w:hint="eastAsia" w:ascii="宋体" w:hAnsi="宋体" w:eastAsia="宋体" w:cs="宋体"/>
                <w:sz w:val="24"/>
                <w:szCs w:val="24"/>
              </w:rPr>
              <w:t>、</w:t>
            </w:r>
            <w:r>
              <w:rPr>
                <w:rFonts w:hint="eastAsia" w:ascii="宋体" w:hAnsi="宋体" w:eastAsia="宋体" w:cs="宋体"/>
                <w:sz w:val="24"/>
                <w:szCs w:val="24"/>
                <w:lang w:val="en-US" w:eastAsia="zh-CN"/>
              </w:rPr>
              <w:t>1602液晶屏、2个减速马达、1个舵机、1个USB充电器、2个18650锂电池、1个车架、1根数据线、4根PH2.0 4P端子线、6根PH2.0 3P端子线、3根杜邦线。</w:t>
            </w:r>
          </w:p>
          <w:p>
            <w:pPr>
              <w:pStyle w:val="139"/>
              <w:numPr>
                <w:ilvl w:val="0"/>
                <w:numId w:val="8"/>
              </w:numPr>
              <w:tabs>
                <w:tab w:val="left" w:pos="0"/>
              </w:tabs>
              <w:ind w:firstLineChars="0"/>
              <w:rPr>
                <w:rFonts w:hint="eastAsia" w:ascii="宋体" w:hAnsi="宋体" w:eastAsia="宋体" w:cs="宋体"/>
                <w:sz w:val="24"/>
                <w:szCs w:val="24"/>
              </w:rPr>
            </w:pPr>
            <w:r>
              <w:rPr>
                <w:rFonts w:hint="eastAsia" w:ascii="宋体" w:hAnsi="宋体" w:eastAsia="宋体" w:cs="宋体"/>
                <w:sz w:val="24"/>
                <w:szCs w:val="24"/>
                <w:lang w:val="en-US" w:eastAsia="zh-CN"/>
              </w:rPr>
              <w:t>传感器模块及</w:t>
            </w:r>
            <w:r>
              <w:rPr>
                <w:rFonts w:hint="eastAsia" w:ascii="宋体" w:hAnsi="宋体" w:eastAsia="宋体" w:cs="宋体"/>
                <w:sz w:val="24"/>
                <w:szCs w:val="24"/>
              </w:rPr>
              <w:t>建构零件数量</w:t>
            </w:r>
          </w:p>
          <w:p>
            <w:pPr>
              <w:tabs>
                <w:tab w:val="left" w:pos="0"/>
              </w:tabs>
              <w:ind w:left="4" w:hanging="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传感器模块16个</w:t>
            </w:r>
            <w:r>
              <w:rPr>
                <w:rFonts w:hint="eastAsia" w:ascii="宋体" w:hAnsi="宋体" w:cs="宋体"/>
                <w:sz w:val="24"/>
                <w:szCs w:val="24"/>
                <w:lang w:val="en-US" w:eastAsia="zh-CN"/>
              </w:rPr>
              <w:t>需</w:t>
            </w:r>
            <w:r>
              <w:rPr>
                <w:rFonts w:hint="eastAsia" w:ascii="宋体" w:hAnsi="宋体" w:eastAsia="宋体" w:cs="宋体"/>
                <w:sz w:val="24"/>
                <w:szCs w:val="24"/>
                <w:lang w:val="en-US" w:eastAsia="zh-CN"/>
              </w:rPr>
              <w:t>包含：超声波、红外、温度、语音模块、蜂鸣器、避障、超声波转接板、光线、按键模块、电位器、音量模块、风扇模块、双路巡线。</w:t>
            </w:r>
          </w:p>
          <w:p>
            <w:pPr>
              <w:tabs>
                <w:tab w:val="left" w:pos="0"/>
              </w:tabs>
              <w:ind w:left="4" w:hanging="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灯光模块5个</w:t>
            </w:r>
            <w:r>
              <w:rPr>
                <w:rFonts w:hint="eastAsia" w:ascii="宋体" w:hAnsi="宋体" w:cs="宋体"/>
                <w:sz w:val="24"/>
                <w:szCs w:val="24"/>
                <w:lang w:val="en-US" w:eastAsia="zh-CN"/>
              </w:rPr>
              <w:t>需</w:t>
            </w:r>
            <w:r>
              <w:rPr>
                <w:rFonts w:hint="eastAsia" w:ascii="宋体" w:hAnsi="宋体" w:eastAsia="宋体" w:cs="宋体"/>
                <w:sz w:val="24"/>
                <w:szCs w:val="24"/>
                <w:lang w:val="en-US" w:eastAsia="zh-CN"/>
              </w:rPr>
              <w:t>包含：红色、黄色、绿色、三色灯。</w:t>
            </w:r>
          </w:p>
          <w:p>
            <w:pPr>
              <w:tabs>
                <w:tab w:val="left" w:pos="0"/>
              </w:tabs>
              <w:ind w:left="4" w:hanging="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三极管</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面包板</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遥控器</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各色LED灯</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电阻</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光敏电阻</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扇叶</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轻触开关</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橡皮圈</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螺丝刀</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螺丝</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万向轮</w:t>
            </w:r>
            <w:r>
              <w:rPr>
                <w:rFonts w:hint="eastAsia" w:ascii="宋体" w:hAnsi="宋体" w:cs="宋体"/>
                <w:sz w:val="24"/>
                <w:szCs w:val="24"/>
                <w:lang w:val="en-US" w:eastAsia="zh-CN"/>
              </w:rPr>
              <w:t>、</w:t>
            </w:r>
          </w:p>
          <w:p>
            <w:pPr>
              <w:tabs>
                <w:tab w:val="left" w:pos="0"/>
              </w:tabs>
              <w:ind w:left="4" w:hanging="4"/>
              <w:rPr>
                <w:rFonts w:hint="eastAsia" w:ascii="宋体" w:hAnsi="宋体" w:cs="宋体"/>
                <w:sz w:val="24"/>
                <w:szCs w:val="24"/>
                <w:lang w:val="en-US" w:eastAsia="zh-CN"/>
              </w:rPr>
            </w:pPr>
            <w:r>
              <w:rPr>
                <w:rFonts w:hint="eastAsia" w:ascii="宋体" w:hAnsi="宋体" w:eastAsia="宋体" w:cs="宋体"/>
                <w:sz w:val="24"/>
                <w:szCs w:val="24"/>
                <w:lang w:val="en-US" w:eastAsia="zh-CN"/>
              </w:rPr>
              <w:t>16x16底板</w:t>
            </w:r>
            <w:r>
              <w:rPr>
                <w:rFonts w:hint="eastAsia" w:ascii="宋体" w:hAnsi="宋体" w:cs="宋体"/>
                <w:sz w:val="24"/>
                <w:szCs w:val="24"/>
                <w:lang w:val="en-US" w:eastAsia="zh-CN"/>
              </w:rPr>
              <w:t>；</w:t>
            </w:r>
          </w:p>
          <w:p>
            <w:pPr>
              <w:tabs>
                <w:tab w:val="left" w:pos="0"/>
              </w:tabs>
              <w:ind w:left="4" w:hanging="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搭建梁类4种，零件数量24个</w:t>
            </w:r>
          </w:p>
          <w:p>
            <w:pPr>
              <w:tabs>
                <w:tab w:val="left" w:pos="0"/>
              </w:tabs>
              <w:ind w:left="4" w:hanging="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销类4种，零件数量26个</w:t>
            </w:r>
          </w:p>
          <w:p>
            <w:pPr>
              <w:tabs>
                <w:tab w:val="left" w:pos="0"/>
              </w:tabs>
              <w:ind w:left="4" w:hanging="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板类2种，零件数量12个</w:t>
            </w:r>
          </w:p>
          <w:p>
            <w:pPr>
              <w:tabs>
                <w:tab w:val="left" w:pos="0"/>
              </w:tabs>
              <w:ind w:left="4" w:hanging="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连接器2种。零件数量10个</w:t>
            </w:r>
          </w:p>
          <w:p>
            <w:pPr>
              <w:tabs>
                <w:tab w:val="left" w:pos="0"/>
              </w:tabs>
              <w:ind w:left="4" w:hanging="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薄壁1种，零件数量5个</w:t>
            </w:r>
          </w:p>
        </w:tc>
        <w:tc>
          <w:tcPr>
            <w:tcW w:w="709" w:type="dxa"/>
            <w:noWrap w:val="0"/>
            <w:vAlign w:val="center"/>
          </w:tcPr>
          <w:p>
            <w:pPr>
              <w:tabs>
                <w:tab w:val="left" w:pos="0"/>
              </w:tabs>
              <w:ind w:left="4" w:hanging="4"/>
              <w:jc w:val="center"/>
              <w:rPr>
                <w:rFonts w:hint="eastAsia" w:ascii="宋体" w:hAnsi="宋体" w:eastAsia="宋体" w:cs="宋体"/>
                <w:sz w:val="24"/>
                <w:szCs w:val="24"/>
              </w:rPr>
            </w:pPr>
            <w:r>
              <w:rPr>
                <w:rFonts w:hint="eastAsia" w:ascii="宋体" w:hAnsi="宋体" w:eastAsia="宋体" w:cs="宋体"/>
                <w:sz w:val="24"/>
                <w:szCs w:val="24"/>
              </w:rPr>
              <w:t>10</w:t>
            </w:r>
          </w:p>
        </w:tc>
        <w:tc>
          <w:tcPr>
            <w:tcW w:w="851" w:type="dxa"/>
            <w:noWrap w:val="0"/>
            <w:vAlign w:val="center"/>
          </w:tcPr>
          <w:p>
            <w:pPr>
              <w:tabs>
                <w:tab w:val="left" w:pos="0"/>
              </w:tabs>
              <w:ind w:left="4" w:hanging="4"/>
              <w:jc w:val="center"/>
              <w:rPr>
                <w:rFonts w:hint="eastAsia" w:ascii="宋体" w:hAnsi="宋体" w:eastAsia="宋体" w:cs="宋体"/>
                <w:sz w:val="24"/>
                <w:szCs w:val="24"/>
              </w:rPr>
            </w:pPr>
            <w:r>
              <w:rPr>
                <w:rFonts w:hint="eastAsia" w:ascii="宋体" w:hAnsi="宋体" w:eastAsia="宋体" w:cs="宋体"/>
                <w:sz w:val="24"/>
                <w:szCs w:val="24"/>
              </w:rPr>
              <w:t>套</w:t>
            </w:r>
          </w:p>
        </w:tc>
      </w:tr>
    </w:tbl>
    <w:p>
      <w:pPr>
        <w:pStyle w:val="31"/>
        <w:keepNext w:val="0"/>
        <w:keepLines w:val="0"/>
        <w:widowControl/>
        <w:suppressLineNumbers w:val="0"/>
        <w:shd w:val="clear" w:color="auto" w:fill="FFFFFF"/>
        <w:spacing w:before="0" w:beforeAutospacing="0" w:after="150" w:afterAutospacing="0" w:line="560" w:lineRule="atLeast"/>
        <w:ind w:left="0" w:right="0" w:firstLine="0"/>
        <w:rPr>
          <w:rFonts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说明：</w:t>
      </w:r>
    </w:p>
    <w:p>
      <w:pPr>
        <w:pStyle w:val="31"/>
        <w:keepNext w:val="0"/>
        <w:keepLines w:val="0"/>
        <w:widowControl/>
        <w:suppressLineNumbers w:val="0"/>
        <w:shd w:val="clear" w:color="auto" w:fill="FFFFFF"/>
        <w:spacing w:before="0" w:beforeAutospacing="0" w:after="150" w:afterAutospacing="0" w:line="240" w:lineRule="auto"/>
        <w:ind w:left="0" w:right="0" w:firstLine="480"/>
        <w:rPr>
          <w:rFonts w:hint="default"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（1）单课程时间为90分钟。</w:t>
      </w:r>
    </w:p>
    <w:p>
      <w:pPr>
        <w:pStyle w:val="31"/>
        <w:keepNext w:val="0"/>
        <w:keepLines w:val="0"/>
        <w:widowControl/>
        <w:suppressLineNumbers w:val="0"/>
        <w:shd w:val="clear" w:color="auto" w:fill="FFFFFF"/>
        <w:spacing w:before="0" w:beforeAutospacing="0" w:after="150" w:afterAutospacing="0" w:line="240" w:lineRule="auto"/>
        <w:ind w:left="0" w:right="0" w:firstLine="480"/>
        <w:rPr>
          <w:rFonts w:hint="default"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（2）采购单位可根据实际情况调整课程课时。</w:t>
      </w:r>
    </w:p>
    <w:p>
      <w:pPr>
        <w:pStyle w:val="31"/>
        <w:keepNext w:val="0"/>
        <w:keepLines w:val="0"/>
        <w:widowControl/>
        <w:suppressLineNumbers w:val="0"/>
        <w:shd w:val="clear" w:color="auto" w:fill="FFFFFF"/>
        <w:spacing w:before="0" w:beforeAutospacing="0" w:after="150" w:afterAutospacing="0" w:line="240" w:lineRule="auto"/>
        <w:ind w:left="0" w:right="0" w:firstLine="480"/>
        <w:rPr>
          <w:rFonts w:hint="eastAsia" w:ascii="黑体" w:hAnsi="黑体" w:eastAsia="黑体" w:cs="黑体"/>
          <w:i w:val="0"/>
          <w:caps w:val="0"/>
          <w:color w:val="333333"/>
          <w:spacing w:val="0"/>
          <w:kern w:val="0"/>
          <w:sz w:val="32"/>
          <w:szCs w:val="32"/>
          <w:shd w:val="clear" w:color="auto" w:fill="FFFFFF"/>
          <w:lang w:val="en-US" w:eastAsia="zh-CN" w:bidi="ar"/>
        </w:rPr>
      </w:pPr>
      <w:r>
        <w:rPr>
          <w:rFonts w:hint="eastAsia" w:ascii="宋体" w:hAnsi="宋体" w:eastAsia="宋体" w:cs="宋体"/>
          <w:i w:val="0"/>
          <w:caps w:val="0"/>
          <w:color w:val="auto"/>
          <w:spacing w:val="0"/>
          <w:sz w:val="24"/>
          <w:szCs w:val="24"/>
          <w:shd w:val="clear" w:color="auto" w:fill="FFFFFF"/>
        </w:rPr>
        <w:t>（3）若在本项目合同期间，受不可抗力因素影响（如疫情影响或上级部门下公文）造成无法如期履行合同时，科技馆不承担任何违约责任。</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left="0" w:firstLine="56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8"/>
          <w:szCs w:val="28"/>
          <w:lang w:val="en-US" w:eastAsia="zh-CN"/>
        </w:rPr>
        <w:t>2、技术要求，相关配套器材技术</w:t>
      </w:r>
      <w:r>
        <w:rPr>
          <w:rFonts w:hint="eastAsia" w:ascii="宋体" w:hAnsi="宋体" w:eastAsia="宋体" w:cs="宋体"/>
          <w:b/>
          <w:bCs/>
          <w:sz w:val="24"/>
          <w:szCs w:val="24"/>
          <w:lang w:val="en-US" w:eastAsia="zh-CN"/>
        </w:rPr>
        <w:t>要求不低于以下标准，投标供应商参照以下表格填写《技术规格偏离表》。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698"/>
        <w:gridCol w:w="5379"/>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jc w:val="left"/>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699" w:type="dxa"/>
            <w:noWrap w:val="0"/>
            <w:vAlign w:val="top"/>
          </w:tcPr>
          <w:p>
            <w:pPr>
              <w:jc w:val="left"/>
              <w:rPr>
                <w:rFonts w:hint="eastAsia" w:ascii="宋体" w:hAnsi="宋体" w:eastAsia="宋体" w:cs="宋体"/>
                <w:b/>
                <w:bCs/>
                <w:sz w:val="24"/>
                <w:szCs w:val="24"/>
              </w:rPr>
            </w:pPr>
            <w:r>
              <w:rPr>
                <w:rFonts w:hint="eastAsia" w:ascii="宋体" w:hAnsi="宋体" w:eastAsia="宋体" w:cs="宋体"/>
                <w:b/>
                <w:bCs/>
                <w:sz w:val="24"/>
                <w:szCs w:val="24"/>
              </w:rPr>
              <w:t>课程配套器材</w:t>
            </w:r>
          </w:p>
        </w:tc>
        <w:tc>
          <w:tcPr>
            <w:tcW w:w="5383" w:type="dxa"/>
            <w:noWrap w:val="0"/>
            <w:vAlign w:val="top"/>
          </w:tcPr>
          <w:p>
            <w:pPr>
              <w:jc w:val="left"/>
              <w:rPr>
                <w:rFonts w:hint="eastAsia" w:ascii="宋体" w:hAnsi="宋体" w:eastAsia="宋体" w:cs="宋体"/>
                <w:b/>
                <w:bCs/>
                <w:sz w:val="24"/>
                <w:szCs w:val="24"/>
              </w:rPr>
            </w:pPr>
            <w:r>
              <w:rPr>
                <w:rFonts w:hint="eastAsia" w:ascii="宋体" w:hAnsi="宋体" w:eastAsia="宋体" w:cs="宋体"/>
                <w:b/>
                <w:bCs/>
                <w:sz w:val="24"/>
                <w:szCs w:val="24"/>
              </w:rPr>
              <w:t>技术参数要求</w:t>
            </w:r>
          </w:p>
        </w:tc>
        <w:tc>
          <w:tcPr>
            <w:tcW w:w="765" w:type="dxa"/>
            <w:noWrap w:val="0"/>
            <w:vAlign w:val="top"/>
          </w:tcPr>
          <w:p>
            <w:pPr>
              <w:jc w:val="left"/>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jc w:val="left"/>
              <w:rPr>
                <w:rFonts w:hint="eastAsia" w:ascii="宋体" w:hAnsi="宋体" w:eastAsia="宋体" w:cs="宋体"/>
                <w:b/>
                <w:bCs/>
                <w:sz w:val="24"/>
                <w:szCs w:val="24"/>
              </w:rPr>
            </w:pPr>
          </w:p>
          <w:p>
            <w:pPr>
              <w:jc w:val="left"/>
              <w:rPr>
                <w:rFonts w:hint="eastAsia" w:ascii="宋体" w:hAnsi="宋体" w:eastAsia="宋体" w:cs="宋体"/>
                <w:b/>
                <w:bCs/>
                <w:sz w:val="24"/>
                <w:szCs w:val="24"/>
              </w:rPr>
            </w:pPr>
          </w:p>
          <w:p>
            <w:pPr>
              <w:jc w:val="left"/>
              <w:rPr>
                <w:rFonts w:hint="eastAsia" w:ascii="宋体" w:hAnsi="宋体" w:eastAsia="宋体" w:cs="宋体"/>
                <w:b/>
                <w:bCs/>
                <w:sz w:val="24"/>
                <w:szCs w:val="24"/>
              </w:rPr>
            </w:pPr>
          </w:p>
          <w:p>
            <w:pPr>
              <w:jc w:val="left"/>
              <w:rPr>
                <w:rFonts w:hint="eastAsia" w:ascii="宋体" w:hAnsi="宋体" w:eastAsia="宋体" w:cs="宋体"/>
                <w:b/>
                <w:bCs/>
                <w:sz w:val="24"/>
                <w:szCs w:val="24"/>
              </w:rPr>
            </w:pPr>
            <w:r>
              <w:rPr>
                <w:rFonts w:hint="eastAsia" w:ascii="宋体" w:hAnsi="宋体" w:eastAsia="宋体" w:cs="宋体"/>
                <w:b/>
                <w:bCs/>
                <w:sz w:val="24"/>
                <w:szCs w:val="24"/>
              </w:rPr>
              <w:t>1</w:t>
            </w:r>
          </w:p>
        </w:tc>
        <w:tc>
          <w:tcPr>
            <w:tcW w:w="1699" w:type="dxa"/>
            <w:noWrap w:val="0"/>
            <w:vAlign w:val="top"/>
          </w:tcPr>
          <w:p>
            <w:pPr>
              <w:jc w:val="left"/>
              <w:rPr>
                <w:rFonts w:hint="eastAsia" w:ascii="宋体" w:hAnsi="宋体" w:eastAsia="宋体" w:cs="宋体"/>
                <w:sz w:val="24"/>
                <w:szCs w:val="24"/>
                <w:lang w:val="en" w:eastAsia="zh-CN"/>
              </w:rPr>
            </w:pPr>
          </w:p>
          <w:p>
            <w:pPr>
              <w:jc w:val="left"/>
              <w:rPr>
                <w:rFonts w:hint="eastAsia" w:ascii="宋体" w:hAnsi="宋体" w:eastAsia="宋体" w:cs="宋体"/>
                <w:sz w:val="24"/>
                <w:szCs w:val="24"/>
                <w:lang w:val="en" w:eastAsia="zh-CN"/>
              </w:rPr>
            </w:pPr>
          </w:p>
          <w:p>
            <w:pPr>
              <w:jc w:val="left"/>
              <w:rPr>
                <w:rFonts w:hint="eastAsia" w:ascii="宋体" w:hAnsi="宋体" w:eastAsia="宋体" w:cs="宋体"/>
                <w:b/>
                <w:bCs/>
                <w:sz w:val="24"/>
                <w:szCs w:val="24"/>
              </w:rPr>
            </w:pPr>
            <w:r>
              <w:rPr>
                <w:rFonts w:hint="eastAsia" w:ascii="宋体" w:hAnsi="宋体" w:eastAsia="宋体" w:cs="宋体"/>
                <w:sz w:val="24"/>
                <w:szCs w:val="24"/>
                <w:lang w:val="en" w:eastAsia="zh-CN"/>
              </w:rPr>
              <w:t>暑期前沿科技公益科普课（青少年人工智能）</w:t>
            </w:r>
          </w:p>
        </w:tc>
        <w:tc>
          <w:tcPr>
            <w:tcW w:w="5383"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一、零件参数</w:t>
            </w:r>
          </w:p>
          <w:p>
            <w:pPr>
              <w:jc w:val="left"/>
              <w:rPr>
                <w:rFonts w:hint="eastAsia" w:ascii="宋体" w:hAnsi="宋体" w:eastAsia="宋体" w:cs="宋体"/>
                <w:sz w:val="24"/>
                <w:szCs w:val="24"/>
              </w:rPr>
            </w:pPr>
            <w:r>
              <w:rPr>
                <w:rFonts w:hint="eastAsia" w:ascii="宋体" w:hAnsi="宋体" w:eastAsia="宋体" w:cs="宋体"/>
                <w:sz w:val="24"/>
                <w:szCs w:val="24"/>
              </w:rPr>
              <w:t>1、所有器材需环保材料制作，无毒、无味、对人体无害；</w:t>
            </w:r>
          </w:p>
          <w:p>
            <w:pPr>
              <w:jc w:val="left"/>
              <w:rPr>
                <w:rFonts w:hint="eastAsia" w:ascii="宋体" w:hAnsi="宋体" w:eastAsia="宋体" w:cs="宋体"/>
                <w:sz w:val="24"/>
                <w:szCs w:val="24"/>
              </w:rPr>
            </w:pPr>
            <w:r>
              <w:rPr>
                <w:rFonts w:hint="eastAsia" w:ascii="宋体" w:hAnsi="宋体" w:eastAsia="宋体" w:cs="宋体"/>
                <w:sz w:val="24"/>
                <w:szCs w:val="24"/>
              </w:rPr>
              <w:t>2、误差小，精度高。</w:t>
            </w:r>
          </w:p>
          <w:p>
            <w:pPr>
              <w:jc w:val="left"/>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软件</w:t>
            </w:r>
            <w:r>
              <w:rPr>
                <w:rFonts w:hint="eastAsia" w:ascii="宋体" w:hAnsi="宋体" w:eastAsia="宋体" w:cs="宋体"/>
                <w:sz w:val="24"/>
                <w:szCs w:val="24"/>
              </w:rPr>
              <w:t>参数</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硬件器材支持图形化及代码编程双编程路径，可供不同基础的学生学习。</w:t>
            </w:r>
          </w:p>
          <w:p>
            <w:pPr>
              <w:numPr>
                <w:ilvl w:val="0"/>
                <w:numId w:val="8"/>
              </w:numPr>
              <w:ind w:left="510" w:leftChars="0" w:hanging="510" w:firstLineChars="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教学</w:t>
            </w:r>
          </w:p>
          <w:p>
            <w:pPr>
              <w:numPr>
                <w:ilvl w:val="0"/>
                <w:numId w:val="0"/>
              </w:numPr>
              <w:ind w:leftChars="0"/>
              <w:jc w:val="left"/>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授课教师具有相关资质证明和授课经验。</w:t>
            </w:r>
          </w:p>
        </w:tc>
        <w:tc>
          <w:tcPr>
            <w:tcW w:w="765" w:type="dxa"/>
            <w:noWrap w:val="0"/>
            <w:vAlign w:val="top"/>
          </w:tcPr>
          <w:p>
            <w:pPr>
              <w:jc w:val="left"/>
              <w:rPr>
                <w:rFonts w:hint="eastAsia" w:ascii="宋体" w:hAnsi="宋体" w:eastAsia="宋体" w:cs="宋体"/>
                <w:b/>
                <w:bCs/>
                <w:sz w:val="24"/>
                <w:szCs w:val="24"/>
              </w:rPr>
            </w:pPr>
          </w:p>
        </w:tc>
      </w:tr>
    </w:tbl>
    <w:p/>
    <w:p>
      <w:pPr>
        <w:keepNext w:val="0"/>
        <w:keepLines w:val="0"/>
        <w:pageBreakBefore w:val="0"/>
        <w:widowControl w:val="0"/>
        <w:tabs>
          <w:tab w:val="left" w:pos="0"/>
        </w:tabs>
        <w:kinsoku/>
        <w:wordWrap/>
        <w:overflowPunct/>
        <w:topLinePunct w:val="0"/>
        <w:autoSpaceDE/>
        <w:autoSpaceDN/>
        <w:bidi w:val="0"/>
        <w:adjustRightInd/>
        <w:snapToGrid/>
        <w:ind w:left="0" w:firstLine="640" w:firstLineChars="200"/>
        <w:textAlignment w:val="auto"/>
        <w:rPr>
          <w:rFonts w:hint="eastAsia" w:ascii="黑体" w:hAnsi="黑体" w:eastAsia="黑体" w:cs="黑体"/>
          <w:sz w:val="32"/>
          <w:szCs w:val="32"/>
          <w:lang w:val="en" w:eastAsia="zh-CN"/>
        </w:rPr>
      </w:pPr>
    </w:p>
    <w:p>
      <w:pPr>
        <w:keepNext w:val="0"/>
        <w:keepLines w:val="0"/>
        <w:pageBreakBefore w:val="0"/>
        <w:widowControl w:val="0"/>
        <w:tabs>
          <w:tab w:val="left" w:pos="0"/>
        </w:tabs>
        <w:kinsoku/>
        <w:wordWrap/>
        <w:overflowPunct/>
        <w:topLinePunct w:val="0"/>
        <w:autoSpaceDE/>
        <w:autoSpaceDN/>
        <w:bidi w:val="0"/>
        <w:adjustRightInd/>
        <w:snapToGrid/>
        <w:ind w:left="0" w:firstLine="560" w:firstLineChars="200"/>
        <w:textAlignment w:val="auto"/>
        <w:rPr>
          <w:rFonts w:hint="eastAsia" w:ascii="宋体" w:hAnsi="宋体" w:eastAsia="宋体" w:cs="宋体"/>
          <w:sz w:val="28"/>
          <w:szCs w:val="28"/>
          <w:lang w:val="en" w:eastAsia="zh-CN"/>
        </w:rPr>
      </w:pPr>
      <w:r>
        <w:rPr>
          <w:rFonts w:hint="eastAsia" w:ascii="宋体" w:hAnsi="宋体" w:eastAsia="宋体" w:cs="宋体"/>
          <w:sz w:val="28"/>
          <w:szCs w:val="28"/>
          <w:lang w:val="en" w:eastAsia="zh-CN"/>
        </w:rPr>
        <w:t>二、服务要求</w:t>
      </w:r>
    </w:p>
    <w:p>
      <w:pPr>
        <w:keepNext w:val="0"/>
        <w:keepLines w:val="0"/>
        <w:pageBreakBefore w:val="0"/>
        <w:widowControl w:val="0"/>
        <w:tabs>
          <w:tab w:val="left" w:pos="0"/>
        </w:tabs>
        <w:kinsoku/>
        <w:wordWrap/>
        <w:overflowPunct/>
        <w:topLinePunct w:val="0"/>
        <w:autoSpaceDE/>
        <w:autoSpaceDN/>
        <w:bidi w:val="0"/>
        <w:adjustRightInd/>
        <w:snapToGrid/>
        <w:ind w:left="0" w:firstLine="560" w:firstLineChars="200"/>
        <w:textAlignment w:val="auto"/>
        <w:rPr>
          <w:rFonts w:hint="eastAsia" w:ascii="宋体" w:hAnsi="宋体" w:eastAsia="宋体" w:cs="宋体"/>
          <w:sz w:val="28"/>
          <w:szCs w:val="28"/>
          <w:lang w:val="en" w:eastAsia="zh-CN"/>
        </w:rPr>
      </w:pPr>
      <w:r>
        <w:rPr>
          <w:rFonts w:hint="eastAsia" w:ascii="宋体" w:hAnsi="宋体" w:eastAsia="宋体" w:cs="宋体"/>
          <w:sz w:val="28"/>
          <w:szCs w:val="28"/>
          <w:lang w:val="en" w:eastAsia="zh-CN"/>
        </w:rPr>
        <w:t>1、中标供应商按照采购单位整体发展和工作需要，负责所有购买服务的机器人课程顺利开展。</w:t>
      </w:r>
    </w:p>
    <w:p>
      <w:pPr>
        <w:keepNext w:val="0"/>
        <w:keepLines w:val="0"/>
        <w:pageBreakBefore w:val="0"/>
        <w:widowControl w:val="0"/>
        <w:tabs>
          <w:tab w:val="left" w:pos="0"/>
        </w:tabs>
        <w:kinsoku/>
        <w:wordWrap/>
        <w:overflowPunct/>
        <w:topLinePunct w:val="0"/>
        <w:autoSpaceDE/>
        <w:autoSpaceDN/>
        <w:bidi w:val="0"/>
        <w:adjustRightInd/>
        <w:snapToGrid/>
        <w:ind w:left="0" w:firstLine="560" w:firstLineChars="200"/>
        <w:textAlignment w:val="auto"/>
        <w:rPr>
          <w:rFonts w:hint="eastAsia" w:ascii="宋体" w:hAnsi="宋体" w:eastAsia="宋体" w:cs="宋体"/>
          <w:sz w:val="28"/>
          <w:szCs w:val="28"/>
          <w:lang w:val="en" w:eastAsia="zh-CN"/>
        </w:rPr>
      </w:pPr>
      <w:r>
        <w:rPr>
          <w:rFonts w:hint="eastAsia" w:ascii="宋体" w:hAnsi="宋体" w:eastAsia="宋体" w:cs="宋体"/>
          <w:sz w:val="28"/>
          <w:szCs w:val="28"/>
          <w:lang w:val="en" w:eastAsia="zh-CN"/>
        </w:rPr>
        <w:t>2、协助采购单位进行机器人课程的课堂招生工作。</w:t>
      </w:r>
    </w:p>
    <w:p>
      <w:pPr>
        <w:keepNext w:val="0"/>
        <w:keepLines w:val="0"/>
        <w:pageBreakBefore w:val="0"/>
        <w:widowControl w:val="0"/>
        <w:tabs>
          <w:tab w:val="left" w:pos="0"/>
        </w:tabs>
        <w:kinsoku/>
        <w:wordWrap/>
        <w:overflowPunct/>
        <w:topLinePunct w:val="0"/>
        <w:autoSpaceDE/>
        <w:autoSpaceDN/>
        <w:bidi w:val="0"/>
        <w:adjustRightInd/>
        <w:snapToGrid/>
        <w:ind w:left="0" w:firstLine="560" w:firstLineChars="200"/>
        <w:textAlignment w:val="auto"/>
        <w:rPr>
          <w:rFonts w:hint="eastAsia" w:ascii="宋体" w:hAnsi="宋体" w:eastAsia="宋体" w:cs="宋体"/>
          <w:sz w:val="28"/>
          <w:szCs w:val="28"/>
          <w:lang w:val="en" w:eastAsia="zh-CN"/>
        </w:rPr>
      </w:pPr>
      <w:r>
        <w:rPr>
          <w:rFonts w:hint="eastAsia" w:ascii="宋体" w:hAnsi="宋体" w:eastAsia="宋体" w:cs="宋体"/>
          <w:sz w:val="28"/>
          <w:szCs w:val="28"/>
          <w:lang w:val="en" w:eastAsia="zh-CN"/>
        </w:rPr>
        <w:t>3、协助采购单位与参加机器人课程的学生家长沟通。</w:t>
      </w:r>
    </w:p>
    <w:p>
      <w:pPr>
        <w:keepNext w:val="0"/>
        <w:keepLines w:val="0"/>
        <w:pageBreakBefore w:val="0"/>
        <w:widowControl w:val="0"/>
        <w:tabs>
          <w:tab w:val="left" w:pos="0"/>
        </w:tabs>
        <w:kinsoku/>
        <w:wordWrap/>
        <w:overflowPunct/>
        <w:topLinePunct w:val="0"/>
        <w:autoSpaceDE/>
        <w:autoSpaceDN/>
        <w:bidi w:val="0"/>
        <w:adjustRightInd/>
        <w:snapToGrid/>
        <w:ind w:left="0" w:firstLine="560" w:firstLineChars="200"/>
        <w:textAlignment w:val="auto"/>
        <w:rPr>
          <w:rFonts w:hint="eastAsia" w:ascii="宋体" w:hAnsi="宋体" w:eastAsia="宋体" w:cs="宋体"/>
          <w:sz w:val="28"/>
          <w:szCs w:val="28"/>
          <w:lang w:val="en" w:eastAsia="zh-CN"/>
        </w:rPr>
      </w:pPr>
      <w:r>
        <w:rPr>
          <w:rFonts w:hint="eastAsia" w:ascii="宋体" w:hAnsi="宋体" w:eastAsia="宋体" w:cs="宋体"/>
          <w:sz w:val="28"/>
          <w:szCs w:val="28"/>
          <w:lang w:val="en" w:eastAsia="zh-CN"/>
        </w:rPr>
        <w:t>4、辅助采购单位机器人课程项目安全管理。</w:t>
      </w:r>
    </w:p>
    <w:p>
      <w:pPr>
        <w:keepNext w:val="0"/>
        <w:keepLines w:val="0"/>
        <w:pageBreakBefore w:val="0"/>
        <w:widowControl w:val="0"/>
        <w:tabs>
          <w:tab w:val="left" w:pos="0"/>
        </w:tabs>
        <w:kinsoku/>
        <w:wordWrap/>
        <w:overflowPunct/>
        <w:topLinePunct w:val="0"/>
        <w:autoSpaceDE/>
        <w:autoSpaceDN/>
        <w:bidi w:val="0"/>
        <w:adjustRightInd/>
        <w:snapToGrid/>
        <w:ind w:left="0" w:firstLine="560" w:firstLineChars="200"/>
        <w:textAlignment w:val="auto"/>
        <w:rPr>
          <w:rFonts w:hint="eastAsia" w:ascii="宋体" w:hAnsi="宋体" w:eastAsia="宋体" w:cs="宋体"/>
          <w:sz w:val="28"/>
          <w:szCs w:val="28"/>
          <w:lang w:val="en" w:eastAsia="zh-CN"/>
        </w:rPr>
      </w:pPr>
      <w:r>
        <w:rPr>
          <w:rFonts w:hint="eastAsia" w:ascii="宋体" w:hAnsi="宋体" w:eastAsia="宋体" w:cs="宋体"/>
          <w:sz w:val="28"/>
          <w:szCs w:val="28"/>
          <w:lang w:val="en" w:eastAsia="zh-CN"/>
        </w:rPr>
        <w:t>（三）授课教师条件</w:t>
      </w:r>
    </w:p>
    <w:p>
      <w:pPr>
        <w:pStyle w:val="31"/>
        <w:keepNext w:val="0"/>
        <w:keepLines w:val="0"/>
        <w:widowControl/>
        <w:suppressLineNumbers w:val="0"/>
        <w:shd w:val="clear" w:color="auto" w:fill="FFFFFF"/>
        <w:spacing w:before="0" w:beforeAutospacing="0" w:after="150" w:afterAutospacing="0" w:line="560" w:lineRule="atLeast"/>
        <w:ind w:left="0" w:right="0" w:firstLine="480"/>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shd w:val="clear" w:color="auto" w:fill="FFFFFF"/>
        </w:rPr>
        <w:t>1、具有大学专科（含）以上学历及理工科背景，有相关机器人项目教学辅导经验。</w:t>
      </w:r>
    </w:p>
    <w:p>
      <w:pPr>
        <w:pStyle w:val="2"/>
        <w:rPr>
          <w:rFonts w:hint="eastAsia" w:ascii="宋体" w:hAnsi="宋体" w:eastAsia="宋体" w:cs="宋体"/>
          <w:b/>
          <w:bCs/>
          <w:sz w:val="18"/>
          <w:szCs w:val="21"/>
          <w:lang w:val="en-US" w:eastAsia="zh-CN"/>
        </w:rPr>
      </w:pPr>
      <w:r>
        <w:rPr>
          <w:rFonts w:hint="eastAsia" w:ascii="宋体" w:hAnsi="宋体" w:eastAsia="宋体" w:cs="宋体"/>
          <w:i w:val="0"/>
          <w:caps w:val="0"/>
          <w:color w:val="auto"/>
          <w:spacing w:val="0"/>
          <w:sz w:val="28"/>
          <w:szCs w:val="28"/>
          <w:shd w:val="clear" w:color="auto" w:fill="FFFFFF"/>
        </w:rPr>
        <w:t>2、中标单位派遣的辅导教师需经采购单位同意。</w:t>
      </w:r>
    </w:p>
    <w:p>
      <w:pPr>
        <w:pStyle w:val="2"/>
        <w:rPr>
          <w:rFonts w:hint="eastAsia" w:ascii="宋体" w:hAnsi="宋体" w:eastAsia="宋体" w:cs="宋体"/>
          <w:b/>
          <w:bCs/>
          <w:sz w:val="20"/>
          <w:szCs w:val="22"/>
          <w:lang w:val="en-US" w:eastAsia="zh-CN"/>
        </w:rPr>
      </w:pPr>
    </w:p>
    <w:p>
      <w:pPr>
        <w:rPr>
          <w:rFonts w:hint="eastAsia" w:ascii="宋体" w:hAnsi="宋体" w:eastAsia="宋体" w:cs="宋体"/>
          <w:sz w:val="20"/>
          <w:szCs w:val="22"/>
          <w:lang w:val="en-US" w:eastAsia="zh-CN"/>
        </w:rPr>
      </w:pPr>
    </w:p>
    <w:p>
      <w:pPr>
        <w:jc w:val="center"/>
        <w:outlineLvl w:val="0"/>
        <w:rPr>
          <w:rFonts w:hint="eastAsia" w:ascii="宋体" w:hAnsi="宋体" w:eastAsia="宋体" w:cs="宋体"/>
          <w:b/>
          <w:color w:val="auto"/>
          <w:sz w:val="28"/>
          <w:szCs w:val="28"/>
        </w:rPr>
      </w:pPr>
    </w:p>
    <w:p>
      <w:pPr>
        <w:jc w:val="center"/>
        <w:outlineLvl w:val="0"/>
        <w:rPr>
          <w:rFonts w:hint="eastAsia" w:ascii="宋体" w:hAnsi="宋体" w:eastAsia="宋体" w:cs="宋体"/>
          <w:b/>
          <w:color w:val="auto"/>
          <w:sz w:val="28"/>
          <w:szCs w:val="28"/>
        </w:rPr>
      </w:pPr>
    </w:p>
    <w:p>
      <w:pPr>
        <w:jc w:val="center"/>
        <w:outlineLvl w:val="0"/>
        <w:rPr>
          <w:rFonts w:hint="eastAsia" w:ascii="宋体" w:hAnsi="宋体" w:eastAsia="宋体" w:cs="宋体"/>
          <w:b/>
          <w:color w:val="auto"/>
          <w:sz w:val="28"/>
          <w:szCs w:val="28"/>
        </w:rPr>
      </w:pPr>
    </w:p>
    <w:p>
      <w:pPr>
        <w:jc w:val="center"/>
        <w:outlineLvl w:val="0"/>
        <w:rPr>
          <w:rFonts w:hint="eastAsia" w:ascii="宋体" w:hAnsi="宋体" w:eastAsia="宋体" w:cs="宋体"/>
          <w:b/>
          <w:color w:val="auto"/>
          <w:sz w:val="28"/>
          <w:szCs w:val="28"/>
        </w:rPr>
      </w:pPr>
    </w:p>
    <w:p>
      <w:pPr>
        <w:jc w:val="center"/>
        <w:outlineLvl w:val="0"/>
        <w:rPr>
          <w:rFonts w:hint="eastAsia" w:ascii="宋体" w:hAnsi="宋体" w:eastAsia="宋体" w:cs="宋体"/>
          <w:b/>
          <w:color w:val="auto"/>
          <w:sz w:val="28"/>
          <w:szCs w:val="28"/>
        </w:rPr>
      </w:pPr>
    </w:p>
    <w:p>
      <w:pPr>
        <w:jc w:val="center"/>
        <w:outlineLvl w:val="0"/>
        <w:rPr>
          <w:rFonts w:hint="eastAsia" w:ascii="宋体" w:hAnsi="宋体" w:eastAsia="宋体" w:cs="宋体"/>
          <w:b/>
          <w:color w:val="auto"/>
          <w:sz w:val="28"/>
          <w:szCs w:val="28"/>
        </w:rPr>
      </w:pPr>
    </w:p>
    <w:p>
      <w:pPr>
        <w:jc w:val="center"/>
        <w:outlineLvl w:val="0"/>
        <w:rPr>
          <w:rFonts w:hint="eastAsia" w:ascii="宋体" w:hAnsi="宋体" w:eastAsia="宋体" w:cs="宋体"/>
          <w:b/>
          <w:color w:val="auto"/>
          <w:sz w:val="28"/>
          <w:szCs w:val="28"/>
        </w:rPr>
      </w:pPr>
    </w:p>
    <w:p>
      <w:pPr>
        <w:jc w:val="center"/>
        <w:outlineLvl w:val="0"/>
        <w:rPr>
          <w:rFonts w:hint="eastAsia" w:ascii="宋体" w:hAnsi="宋体" w:eastAsia="宋体" w:cs="宋体"/>
          <w:b/>
          <w:color w:val="auto"/>
          <w:sz w:val="28"/>
          <w:szCs w:val="28"/>
        </w:rPr>
      </w:pPr>
    </w:p>
    <w:bookmarkEnd w:id="79"/>
    <w:bookmarkEnd w:id="80"/>
    <w:bookmarkEnd w:id="81"/>
    <w:p>
      <w:pP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br w:type="page"/>
      </w:r>
    </w:p>
    <w:p>
      <w:pPr>
        <w:spacing w:before="156" w:beforeLines="50" w:after="156" w:afterLines="50"/>
        <w:jc w:val="center"/>
        <w:outlineLvl w:val="0"/>
        <w:rPr>
          <w:rFonts w:hint="eastAsia" w:ascii="宋体" w:hAnsi="宋体" w:eastAsia="宋体" w:cs="宋体"/>
          <w:b/>
          <w:color w:val="000000"/>
          <w:sz w:val="28"/>
          <w:szCs w:val="28"/>
          <w:highlight w:val="none"/>
          <w:lang w:eastAsia="zh-CN"/>
        </w:rPr>
      </w:pPr>
      <w:r>
        <w:rPr>
          <w:rFonts w:hint="eastAsia" w:ascii="宋体" w:hAnsi="宋体" w:eastAsia="宋体" w:cs="宋体"/>
          <w:b/>
          <w:color w:val="000000"/>
          <w:sz w:val="28"/>
          <w:szCs w:val="28"/>
          <w:highlight w:val="none"/>
        </w:rPr>
        <w:t>第</w:t>
      </w:r>
      <w:r>
        <w:rPr>
          <w:rFonts w:hint="eastAsia" w:ascii="宋体" w:hAnsi="宋体" w:eastAsia="宋体" w:cs="宋体"/>
          <w:b/>
          <w:color w:val="000000"/>
          <w:sz w:val="28"/>
          <w:szCs w:val="28"/>
          <w:highlight w:val="none"/>
          <w:lang w:val="en-US" w:eastAsia="zh-CN"/>
        </w:rPr>
        <w:t>五</w:t>
      </w:r>
      <w:r>
        <w:rPr>
          <w:rFonts w:hint="eastAsia" w:ascii="宋体" w:hAnsi="宋体" w:eastAsia="宋体" w:cs="宋体"/>
          <w:b/>
          <w:color w:val="000000"/>
          <w:sz w:val="28"/>
          <w:szCs w:val="28"/>
          <w:highlight w:val="none"/>
        </w:rPr>
        <w:t>章  合同条款及格式</w:t>
      </w:r>
      <w:r>
        <w:rPr>
          <w:rFonts w:hint="eastAsia" w:ascii="宋体" w:hAnsi="宋体" w:eastAsia="宋体" w:cs="宋体"/>
          <w:b/>
          <w:color w:val="000000"/>
          <w:sz w:val="28"/>
          <w:szCs w:val="28"/>
          <w:highlight w:val="none"/>
          <w:lang w:eastAsia="zh-CN"/>
        </w:rPr>
        <w:t>参考范本（服务类）</w:t>
      </w:r>
    </w:p>
    <w:p>
      <w:pPr>
        <w:widowControl/>
        <w:spacing w:line="400" w:lineRule="exact"/>
        <w:ind w:left="360"/>
        <w:jc w:val="center"/>
        <w:textAlignment w:val="baseline"/>
        <w:outlineLvl w:val="1"/>
        <w:rPr>
          <w:rFonts w:hint="eastAsia" w:ascii="宋体" w:hAnsi="宋体" w:eastAsia="宋体" w:cs="宋体"/>
          <w:b/>
          <w:color w:val="000000"/>
          <w:sz w:val="28"/>
          <w:szCs w:val="28"/>
          <w:highlight w:val="none"/>
        </w:rPr>
      </w:pPr>
    </w:p>
    <w:p>
      <w:pPr>
        <w:widowControl/>
        <w:spacing w:line="400" w:lineRule="exact"/>
        <w:ind w:left="360"/>
        <w:jc w:val="center"/>
        <w:textAlignment w:val="baseline"/>
        <w:outlineLvl w:val="1"/>
        <w:rPr>
          <w:rFonts w:hint="eastAsia" w:ascii="宋体" w:hAnsi="宋体" w:eastAsia="宋体" w:cs="宋体"/>
          <w:b/>
          <w:color w:val="000000"/>
          <w:sz w:val="28"/>
          <w:szCs w:val="28"/>
          <w:highlight w:val="none"/>
        </w:rPr>
      </w:pPr>
    </w:p>
    <w:p>
      <w:pPr>
        <w:widowControl/>
        <w:spacing w:line="400" w:lineRule="exact"/>
        <w:ind w:left="360"/>
        <w:jc w:val="center"/>
        <w:textAlignment w:val="baseline"/>
        <w:outlineLvl w:val="1"/>
        <w:rPr>
          <w:rFonts w:hint="eastAsia" w:ascii="宋体" w:hAnsi="宋体" w:eastAsia="宋体" w:cs="宋体"/>
          <w:b/>
          <w:color w:val="000000"/>
          <w:sz w:val="28"/>
          <w:szCs w:val="28"/>
          <w:highlight w:val="none"/>
        </w:rPr>
      </w:pPr>
    </w:p>
    <w:p>
      <w:pPr>
        <w:widowControl/>
        <w:spacing w:line="400" w:lineRule="exact"/>
        <w:ind w:left="360"/>
        <w:jc w:val="center"/>
        <w:textAlignment w:val="baseline"/>
        <w:outlineLvl w:val="1"/>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一</w:t>
      </w:r>
      <w:bookmarkStart w:id="82" w:name="_Toc449028946"/>
      <w:r>
        <w:rPr>
          <w:rFonts w:hint="eastAsia" w:ascii="宋体" w:hAnsi="宋体" w:eastAsia="宋体" w:cs="宋体"/>
          <w:b/>
          <w:color w:val="000000"/>
          <w:sz w:val="28"/>
          <w:szCs w:val="28"/>
          <w:highlight w:val="none"/>
        </w:rPr>
        <w:t>、合同协议书（格式）</w:t>
      </w:r>
      <w:bookmarkEnd w:id="82"/>
    </w:p>
    <w:p>
      <w:pPr>
        <w:spacing w:before="120" w:line="480" w:lineRule="auto"/>
        <w:ind w:left="960"/>
        <w:rPr>
          <w:rFonts w:hint="eastAsia" w:ascii="宋体" w:hAnsi="宋体" w:eastAsia="宋体" w:cs="宋体"/>
          <w:sz w:val="22"/>
          <w:szCs w:val="22"/>
          <w:highlight w:val="none"/>
        </w:rPr>
      </w:pPr>
    </w:p>
    <w:p>
      <w:pPr>
        <w:spacing w:before="120" w:line="480" w:lineRule="auto"/>
        <w:ind w:left="960"/>
        <w:rPr>
          <w:rFonts w:hint="eastAsia" w:ascii="宋体" w:hAnsi="宋体" w:eastAsia="宋体" w:cs="宋体"/>
          <w:sz w:val="22"/>
          <w:szCs w:val="22"/>
          <w:highlight w:val="none"/>
        </w:rPr>
      </w:pPr>
    </w:p>
    <w:p>
      <w:pPr>
        <w:spacing w:before="120" w:line="480" w:lineRule="auto"/>
        <w:ind w:left="960"/>
        <w:rPr>
          <w:rFonts w:hint="eastAsia" w:ascii="宋体" w:hAnsi="宋体" w:eastAsia="宋体" w:cs="宋体"/>
          <w:sz w:val="22"/>
          <w:szCs w:val="22"/>
          <w:highlight w:val="none"/>
        </w:rPr>
      </w:pPr>
    </w:p>
    <w:p>
      <w:pPr>
        <w:spacing w:before="120" w:line="480" w:lineRule="auto"/>
        <w:ind w:left="960"/>
        <w:rPr>
          <w:rFonts w:hint="eastAsia" w:ascii="宋体" w:hAnsi="宋体" w:eastAsia="宋体" w:cs="宋体"/>
          <w:sz w:val="22"/>
          <w:szCs w:val="22"/>
          <w:highlight w:val="none"/>
        </w:rPr>
      </w:pPr>
    </w:p>
    <w:p>
      <w:pPr>
        <w:spacing w:before="120" w:line="480" w:lineRule="auto"/>
        <w:ind w:left="960"/>
        <w:rPr>
          <w:rFonts w:hint="eastAsia" w:ascii="宋体" w:hAnsi="宋体" w:eastAsia="宋体" w:cs="宋体"/>
          <w:sz w:val="22"/>
          <w:szCs w:val="22"/>
          <w:highlight w:val="none"/>
        </w:rPr>
      </w:pPr>
    </w:p>
    <w:p>
      <w:pPr>
        <w:pStyle w:val="2"/>
        <w:rPr>
          <w:rFonts w:hint="eastAsia" w:ascii="宋体" w:hAnsi="宋体" w:eastAsia="宋体" w:cs="宋体"/>
          <w:sz w:val="22"/>
          <w:szCs w:val="22"/>
          <w:highlight w:val="none"/>
        </w:rPr>
      </w:pPr>
      <w:bookmarkStart w:id="236" w:name="_GoBack"/>
      <w:bookmarkEnd w:id="236"/>
    </w:p>
    <w:p>
      <w:pPr>
        <w:rPr>
          <w:rFonts w:hint="eastAsia" w:ascii="宋体" w:hAnsi="宋体" w:eastAsia="宋体" w:cs="宋体"/>
          <w:sz w:val="22"/>
          <w:szCs w:val="22"/>
          <w:highlight w:val="none"/>
        </w:rPr>
      </w:pPr>
    </w:p>
    <w:p>
      <w:pPr>
        <w:pStyle w:val="2"/>
        <w:rPr>
          <w:rFonts w:hint="eastAsia" w:ascii="宋体" w:hAnsi="宋体" w:eastAsia="宋体" w:cs="宋体"/>
          <w:sz w:val="22"/>
          <w:szCs w:val="22"/>
          <w:highlight w:val="none"/>
        </w:rPr>
      </w:pPr>
    </w:p>
    <w:p>
      <w:pPr>
        <w:rPr>
          <w:rFonts w:hint="eastAsia" w:ascii="宋体" w:hAnsi="宋体" w:eastAsia="宋体" w:cs="宋体"/>
          <w:sz w:val="22"/>
          <w:szCs w:val="22"/>
          <w:highlight w:val="none"/>
        </w:rPr>
      </w:pPr>
    </w:p>
    <w:p>
      <w:pPr>
        <w:pStyle w:val="2"/>
        <w:rPr>
          <w:rFonts w:hint="eastAsia"/>
        </w:rPr>
      </w:pPr>
    </w:p>
    <w:p>
      <w:pPr>
        <w:spacing w:before="120" w:line="480" w:lineRule="auto"/>
        <w:ind w:left="960"/>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项目名称：</w:t>
      </w:r>
      <w:r>
        <w:rPr>
          <w:rFonts w:hint="eastAsia" w:ascii="宋体" w:hAnsi="宋体" w:eastAsia="宋体" w:cs="宋体"/>
          <w:sz w:val="20"/>
          <w:szCs w:val="20"/>
          <w:highlight w:val="none"/>
          <w:lang w:val="en-US" w:eastAsia="zh-CN"/>
        </w:rPr>
        <w:t xml:space="preserve">    </w:t>
      </w:r>
    </w:p>
    <w:p>
      <w:pPr>
        <w:spacing w:before="120" w:line="480" w:lineRule="auto"/>
        <w:ind w:left="960"/>
        <w:rPr>
          <w:rFonts w:hint="eastAsia" w:ascii="宋体" w:hAnsi="宋体" w:eastAsia="宋体" w:cs="宋体"/>
          <w:sz w:val="20"/>
          <w:szCs w:val="20"/>
          <w:highlight w:val="none"/>
        </w:rPr>
      </w:pPr>
      <w:r>
        <w:rPr>
          <w:rFonts w:hint="eastAsia" w:ascii="宋体" w:hAnsi="宋体" w:eastAsia="宋体" w:cs="宋体"/>
          <w:sz w:val="20"/>
          <w:szCs w:val="20"/>
          <w:highlight w:val="none"/>
        </w:rPr>
        <w:t>项目编号：</w:t>
      </w:r>
    </w:p>
    <w:p>
      <w:pPr>
        <w:spacing w:before="120" w:line="480" w:lineRule="auto"/>
        <w:ind w:left="960"/>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甲方（采购人）：</w:t>
      </w:r>
      <w:r>
        <w:rPr>
          <w:rFonts w:hint="eastAsia" w:ascii="宋体" w:hAnsi="宋体" w:eastAsia="宋体" w:cs="宋体"/>
          <w:sz w:val="20"/>
          <w:szCs w:val="20"/>
          <w:highlight w:val="none"/>
          <w:u w:val="single"/>
        </w:rPr>
        <w:t xml:space="preserve">                              </w:t>
      </w:r>
    </w:p>
    <w:p>
      <w:pPr>
        <w:spacing w:before="120" w:line="480" w:lineRule="auto"/>
        <w:ind w:left="960"/>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乙方（中标人）：</w:t>
      </w:r>
      <w:r>
        <w:rPr>
          <w:rFonts w:hint="eastAsia" w:ascii="宋体" w:hAnsi="宋体" w:eastAsia="宋体" w:cs="宋体"/>
          <w:sz w:val="20"/>
          <w:szCs w:val="20"/>
          <w:highlight w:val="none"/>
          <w:u w:val="single"/>
        </w:rPr>
        <w:t xml:space="preserve">                              </w:t>
      </w:r>
    </w:p>
    <w:p>
      <w:pPr>
        <w:spacing w:before="120" w:line="480" w:lineRule="auto"/>
        <w:ind w:firstLine="800" w:firstLineChars="400"/>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签订地：</w:t>
      </w:r>
      <w:r>
        <w:rPr>
          <w:rFonts w:hint="eastAsia" w:ascii="宋体" w:hAnsi="宋体" w:eastAsia="宋体" w:cs="宋体"/>
          <w:sz w:val="20"/>
          <w:szCs w:val="20"/>
          <w:highlight w:val="none"/>
          <w:u w:val="single"/>
        </w:rPr>
        <w:t xml:space="preserve">                                     </w:t>
      </w:r>
    </w:p>
    <w:p>
      <w:pPr>
        <w:spacing w:before="120" w:line="480" w:lineRule="auto"/>
        <w:ind w:firstLine="800" w:firstLineChars="400"/>
        <w:rPr>
          <w:rFonts w:hint="eastAsia" w:ascii="宋体" w:hAnsi="宋体" w:eastAsia="宋体" w:cs="宋体"/>
          <w:sz w:val="20"/>
          <w:szCs w:val="20"/>
          <w:highlight w:val="none"/>
        </w:rPr>
      </w:pPr>
      <w:r>
        <w:rPr>
          <w:rFonts w:hint="eastAsia" w:ascii="宋体" w:hAnsi="宋体" w:eastAsia="宋体" w:cs="宋体"/>
          <w:sz w:val="20"/>
          <w:szCs w:val="20"/>
          <w:highlight w:val="none"/>
        </w:rPr>
        <w:t>签订日期：</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年</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月</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日</w:t>
      </w:r>
    </w:p>
    <w:p>
      <w:pPr>
        <w:widowControl/>
        <w:jc w:val="left"/>
        <w:rPr>
          <w:rFonts w:hint="eastAsia" w:ascii="宋体" w:hAnsi="宋体" w:eastAsia="宋体" w:cs="宋体"/>
          <w:sz w:val="20"/>
          <w:szCs w:val="20"/>
          <w:highlight w:val="none"/>
        </w:rPr>
      </w:pPr>
      <w:r>
        <w:rPr>
          <w:rFonts w:hint="eastAsia" w:ascii="宋体" w:hAnsi="宋体" w:eastAsia="宋体" w:cs="宋体"/>
          <w:sz w:val="20"/>
          <w:szCs w:val="20"/>
          <w:highlight w:val="none"/>
        </w:rPr>
        <w:br w:type="page"/>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i/>
          <w:iCs/>
          <w:sz w:val="20"/>
          <w:szCs w:val="20"/>
          <w:highlight w:val="none"/>
          <w:u w:val="single"/>
        </w:rPr>
        <w:t>（</w:t>
      </w:r>
      <w:r>
        <w:rPr>
          <w:rFonts w:hint="eastAsia" w:ascii="宋体" w:hAnsi="宋体" w:eastAsia="宋体" w:cs="宋体"/>
          <w:i/>
          <w:iCs/>
          <w:sz w:val="20"/>
          <w:szCs w:val="20"/>
          <w:highlight w:val="none"/>
          <w:u w:val="single"/>
          <w:lang w:eastAsia="zh-CN"/>
        </w:rPr>
        <w:t>采购</w:t>
      </w:r>
      <w:r>
        <w:rPr>
          <w:rFonts w:hint="eastAsia" w:ascii="宋体" w:hAnsi="宋体" w:eastAsia="宋体" w:cs="宋体"/>
          <w:i/>
          <w:iCs/>
          <w:sz w:val="20"/>
          <w:szCs w:val="20"/>
          <w:highlight w:val="none"/>
          <w:u w:val="single"/>
        </w:rPr>
        <w:t>人名称）</w:t>
      </w:r>
      <w:r>
        <w:rPr>
          <w:rFonts w:hint="eastAsia" w:ascii="宋体" w:hAnsi="宋体" w:eastAsia="宋体" w:cs="宋体"/>
          <w:sz w:val="20"/>
          <w:szCs w:val="20"/>
          <w:highlight w:val="none"/>
        </w:rPr>
        <w:t>（</w:t>
      </w:r>
      <w:r>
        <w:rPr>
          <w:rFonts w:hint="eastAsia" w:ascii="宋体" w:hAnsi="宋体" w:eastAsia="宋体" w:cs="宋体"/>
          <w:sz w:val="20"/>
          <w:szCs w:val="20"/>
          <w:highlight w:val="none"/>
          <w:lang w:val="zh-CN"/>
        </w:rPr>
        <w:t>以下简称：甲方</w:t>
      </w:r>
      <w:r>
        <w:rPr>
          <w:rFonts w:hint="eastAsia" w:ascii="宋体" w:hAnsi="宋体" w:eastAsia="宋体" w:cs="宋体"/>
          <w:sz w:val="20"/>
          <w:szCs w:val="20"/>
          <w:highlight w:val="none"/>
        </w:rPr>
        <w:t>）通过</w:t>
      </w:r>
      <w:r>
        <w:rPr>
          <w:rFonts w:hint="eastAsia" w:ascii="宋体" w:hAnsi="宋体" w:eastAsia="宋体" w:cs="宋体"/>
          <w:sz w:val="20"/>
          <w:szCs w:val="20"/>
          <w:highlight w:val="none"/>
          <w:u w:val="none"/>
        </w:rPr>
        <w:t>公开招标</w:t>
      </w:r>
      <w:r>
        <w:rPr>
          <w:rFonts w:hint="eastAsia" w:ascii="宋体" w:hAnsi="宋体" w:eastAsia="宋体" w:cs="宋体"/>
          <w:sz w:val="20"/>
          <w:szCs w:val="20"/>
          <w:highlight w:val="none"/>
        </w:rPr>
        <w:t>，经</w:t>
      </w:r>
      <w:r>
        <w:rPr>
          <w:rFonts w:hint="eastAsia" w:ascii="宋体" w:hAnsi="宋体" w:eastAsia="宋体" w:cs="宋体"/>
          <w:sz w:val="20"/>
          <w:szCs w:val="20"/>
          <w:highlight w:val="none"/>
          <w:u w:val="none"/>
        </w:rPr>
        <w:t>评标委员会</w:t>
      </w:r>
      <w:r>
        <w:rPr>
          <w:rFonts w:hint="eastAsia" w:ascii="宋体" w:hAnsi="宋体" w:eastAsia="宋体" w:cs="宋体"/>
          <w:sz w:val="20"/>
          <w:szCs w:val="20"/>
          <w:highlight w:val="none"/>
        </w:rPr>
        <w:t>评定，</w:t>
      </w:r>
      <w:r>
        <w:rPr>
          <w:rFonts w:hint="eastAsia" w:ascii="宋体" w:hAnsi="宋体" w:eastAsia="宋体" w:cs="宋体"/>
          <w:sz w:val="20"/>
          <w:szCs w:val="20"/>
          <w:highlight w:val="none"/>
          <w:lang w:eastAsia="zh-CN"/>
        </w:rPr>
        <w:t>确定</w:t>
      </w:r>
      <w:r>
        <w:rPr>
          <w:rFonts w:hint="eastAsia" w:ascii="宋体" w:hAnsi="宋体" w:eastAsia="宋体" w:cs="宋体"/>
          <w:i/>
          <w:iCs/>
          <w:sz w:val="20"/>
          <w:szCs w:val="20"/>
          <w:highlight w:val="none"/>
          <w:u w:val="single"/>
        </w:rPr>
        <w:t>（中标人名称）</w:t>
      </w:r>
      <w:r>
        <w:rPr>
          <w:rFonts w:hint="eastAsia" w:ascii="宋体" w:hAnsi="宋体" w:eastAsia="宋体" w:cs="宋体"/>
          <w:sz w:val="20"/>
          <w:szCs w:val="20"/>
          <w:highlight w:val="none"/>
        </w:rPr>
        <w:t>（</w:t>
      </w:r>
      <w:r>
        <w:rPr>
          <w:rFonts w:hint="eastAsia" w:ascii="宋体" w:hAnsi="宋体" w:eastAsia="宋体" w:cs="宋体"/>
          <w:sz w:val="20"/>
          <w:szCs w:val="20"/>
          <w:highlight w:val="none"/>
          <w:lang w:val="zh-CN"/>
        </w:rPr>
        <w:t>以下简称：乙方</w:t>
      </w:r>
      <w:r>
        <w:rPr>
          <w:rFonts w:hint="eastAsia" w:ascii="宋体" w:hAnsi="宋体" w:eastAsia="宋体" w:cs="宋体"/>
          <w:sz w:val="20"/>
          <w:szCs w:val="20"/>
          <w:highlight w:val="none"/>
        </w:rPr>
        <w:t>）为本项目中标人，现按照采购文件确定的事项签订本合同。</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rPr>
        <w:t>根据《中华人民共和国民法典》、《中华人民共和国政府采购法》等相关法律法规之规定，按照平等、自愿、公平和诚实信用的原则，经甲方和乙方协商一致，约定以下合同条款，以兹共同遵守、全面履行。</w:t>
      </w:r>
    </w:p>
    <w:p>
      <w:pPr>
        <w:spacing w:line="360" w:lineRule="auto"/>
        <w:ind w:firstLine="437"/>
        <w:outlineLvl w:val="3"/>
        <w:rPr>
          <w:rFonts w:hint="eastAsia" w:ascii="宋体" w:hAnsi="宋体" w:eastAsia="宋体" w:cs="宋体"/>
          <w:b/>
          <w:bCs/>
          <w:sz w:val="20"/>
          <w:szCs w:val="20"/>
          <w:highlight w:val="none"/>
          <w:lang w:val="zh-CN"/>
        </w:rPr>
      </w:pPr>
      <w:bookmarkStart w:id="83" w:name="_Toc2232"/>
      <w:bookmarkStart w:id="84" w:name="_Toc24059"/>
      <w:bookmarkStart w:id="85" w:name="_Toc3029"/>
      <w:r>
        <w:rPr>
          <w:rFonts w:hint="eastAsia" w:ascii="宋体" w:hAnsi="宋体" w:eastAsia="宋体" w:cs="宋体"/>
          <w:b/>
          <w:bCs/>
          <w:sz w:val="20"/>
          <w:szCs w:val="20"/>
          <w:highlight w:val="none"/>
          <w:lang w:val="zh-CN"/>
        </w:rPr>
        <w:t>1.1 合同组成部分</w:t>
      </w:r>
      <w:bookmarkEnd w:id="83"/>
      <w:bookmarkEnd w:id="84"/>
      <w:bookmarkEnd w:id="85"/>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1.1.1本合同及其补充合同、变更协议；</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1.1.2中标通知书；</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1.1.3投标文件（含澄清或者说明文件）；</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1.1.4招标文件（含澄清或者修改文件）；</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1.1.5其他相关采购文件。</w:t>
      </w:r>
    </w:p>
    <w:p>
      <w:pPr>
        <w:spacing w:line="360" w:lineRule="auto"/>
        <w:ind w:firstLine="437"/>
        <w:outlineLvl w:val="3"/>
        <w:rPr>
          <w:rFonts w:hint="eastAsia" w:ascii="宋体" w:hAnsi="宋体" w:eastAsia="宋体" w:cs="宋体"/>
          <w:b/>
          <w:bCs/>
          <w:sz w:val="20"/>
          <w:szCs w:val="20"/>
          <w:highlight w:val="none"/>
          <w:lang w:val="zh-CN"/>
        </w:rPr>
      </w:pPr>
      <w:bookmarkStart w:id="86" w:name="_Toc6311"/>
      <w:bookmarkStart w:id="87" w:name="_Toc6773"/>
      <w:bookmarkStart w:id="88" w:name="_Toc18585"/>
      <w:bookmarkStart w:id="89" w:name="_Toc2918"/>
      <w:bookmarkStart w:id="90" w:name="_Toc22185"/>
      <w:r>
        <w:rPr>
          <w:rFonts w:hint="eastAsia" w:ascii="宋体" w:hAnsi="宋体" w:eastAsia="宋体" w:cs="宋体"/>
          <w:b/>
          <w:bCs/>
          <w:sz w:val="20"/>
          <w:szCs w:val="20"/>
          <w:highlight w:val="none"/>
          <w:lang w:val="zh-CN"/>
        </w:rPr>
        <w:t xml:space="preserve">1.2 </w:t>
      </w:r>
      <w:bookmarkEnd w:id="86"/>
      <w:bookmarkEnd w:id="87"/>
      <w:bookmarkEnd w:id="88"/>
      <w:bookmarkEnd w:id="89"/>
      <w:bookmarkEnd w:id="90"/>
      <w:r>
        <w:rPr>
          <w:rFonts w:hint="eastAsia" w:ascii="宋体" w:hAnsi="宋体" w:eastAsia="宋体" w:cs="宋体"/>
          <w:b/>
          <w:bCs/>
          <w:sz w:val="20"/>
          <w:szCs w:val="20"/>
          <w:highlight w:val="none"/>
          <w:lang w:val="zh-CN"/>
        </w:rPr>
        <w:t>服务</w:t>
      </w:r>
    </w:p>
    <w:p>
      <w:pPr>
        <w:spacing w:line="360" w:lineRule="auto"/>
        <w:ind w:firstLine="435"/>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1.2.1服务名称：</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5"/>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1.2.2服务内容：</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1.2.3服务质量：</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91" w:name="_Toc21631"/>
      <w:bookmarkStart w:id="92" w:name="_Toc21551"/>
      <w:bookmarkStart w:id="93" w:name="_Toc23292"/>
      <w:r>
        <w:rPr>
          <w:rFonts w:hint="eastAsia" w:ascii="宋体" w:hAnsi="宋体" w:eastAsia="宋体" w:cs="宋体"/>
          <w:b/>
          <w:bCs/>
          <w:sz w:val="20"/>
          <w:szCs w:val="20"/>
          <w:highlight w:val="none"/>
          <w:lang w:val="zh-CN"/>
        </w:rPr>
        <w:t>1.3 价款</w:t>
      </w:r>
      <w:bookmarkEnd w:id="91"/>
      <w:bookmarkEnd w:id="92"/>
      <w:bookmarkEnd w:id="93"/>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本合同总价为：￥</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元（大写：人民币</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元）。</w:t>
      </w:r>
    </w:p>
    <w:p>
      <w:pPr>
        <w:spacing w:line="360" w:lineRule="auto"/>
        <w:ind w:firstLine="435"/>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分项价格：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7"/>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center"/>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序号</w:t>
            </w:r>
          </w:p>
        </w:tc>
        <w:tc>
          <w:tcPr>
            <w:tcW w:w="4317" w:type="dxa"/>
            <w:noWrap w:val="0"/>
            <w:vAlign w:val="center"/>
          </w:tcPr>
          <w:p>
            <w:pPr>
              <w:ind w:firstLine="20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分项名称</w:t>
            </w:r>
          </w:p>
        </w:tc>
        <w:tc>
          <w:tcPr>
            <w:tcW w:w="3237" w:type="dxa"/>
            <w:gridSpan w:val="2"/>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w:t>
            </w:r>
          </w:p>
        </w:tc>
        <w:tc>
          <w:tcPr>
            <w:tcW w:w="4317" w:type="dxa"/>
            <w:noWrap w:val="0"/>
            <w:vAlign w:val="center"/>
          </w:tcPr>
          <w:p>
            <w:pPr>
              <w:ind w:firstLine="200"/>
              <w:jc w:val="center"/>
              <w:rPr>
                <w:rFonts w:hint="eastAsia" w:ascii="宋体" w:hAnsi="宋体" w:eastAsia="宋体" w:cs="宋体"/>
                <w:sz w:val="20"/>
                <w:szCs w:val="20"/>
                <w:highlight w:val="none"/>
              </w:rPr>
            </w:pP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2</w:t>
            </w:r>
          </w:p>
        </w:tc>
        <w:tc>
          <w:tcPr>
            <w:tcW w:w="4317" w:type="dxa"/>
            <w:noWrap w:val="0"/>
            <w:vAlign w:val="center"/>
          </w:tcPr>
          <w:p>
            <w:pPr>
              <w:ind w:firstLine="200"/>
              <w:jc w:val="center"/>
              <w:rPr>
                <w:rFonts w:hint="eastAsia" w:ascii="宋体" w:hAnsi="宋体" w:eastAsia="宋体" w:cs="宋体"/>
                <w:sz w:val="20"/>
                <w:szCs w:val="20"/>
                <w:highlight w:val="none"/>
              </w:rPr>
            </w:pP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3</w:t>
            </w:r>
          </w:p>
        </w:tc>
        <w:tc>
          <w:tcPr>
            <w:tcW w:w="4317" w:type="dxa"/>
            <w:noWrap w:val="0"/>
            <w:vAlign w:val="center"/>
          </w:tcPr>
          <w:p>
            <w:pPr>
              <w:ind w:firstLine="200"/>
              <w:jc w:val="center"/>
              <w:rPr>
                <w:rFonts w:hint="eastAsia" w:ascii="宋体" w:hAnsi="宋体" w:eastAsia="宋体" w:cs="宋体"/>
                <w:sz w:val="20"/>
                <w:szCs w:val="20"/>
                <w:highlight w:val="none"/>
              </w:rPr>
            </w:pP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w:t>
            </w:r>
          </w:p>
        </w:tc>
        <w:tc>
          <w:tcPr>
            <w:tcW w:w="4317" w:type="dxa"/>
            <w:noWrap w:val="0"/>
            <w:vAlign w:val="center"/>
          </w:tcPr>
          <w:p>
            <w:pPr>
              <w:ind w:firstLine="200"/>
              <w:jc w:val="center"/>
              <w:rPr>
                <w:rFonts w:hint="eastAsia" w:ascii="宋体" w:hAnsi="宋体" w:eastAsia="宋体" w:cs="宋体"/>
                <w:sz w:val="20"/>
                <w:szCs w:val="20"/>
                <w:highlight w:val="none"/>
              </w:rPr>
            </w:pP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noWrap w:val="0"/>
            <w:vAlign w:val="center"/>
          </w:tcPr>
          <w:p>
            <w:pPr>
              <w:ind w:firstLine="20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总价</w:t>
            </w: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bl>
    <w:p>
      <w:pPr>
        <w:spacing w:line="360" w:lineRule="auto"/>
        <w:ind w:firstLine="437"/>
        <w:outlineLvl w:val="3"/>
        <w:rPr>
          <w:rFonts w:hint="eastAsia" w:ascii="宋体" w:hAnsi="宋体" w:eastAsia="宋体" w:cs="宋体"/>
          <w:b/>
          <w:bCs/>
          <w:sz w:val="20"/>
          <w:szCs w:val="20"/>
          <w:highlight w:val="none"/>
          <w:lang w:val="zh-CN"/>
        </w:rPr>
      </w:pPr>
      <w:bookmarkStart w:id="94" w:name="_Toc1814"/>
      <w:bookmarkStart w:id="95" w:name="_Toc10340"/>
      <w:bookmarkStart w:id="96" w:name="_Toc22618"/>
      <w:r>
        <w:rPr>
          <w:rFonts w:hint="eastAsia" w:ascii="宋体" w:hAnsi="宋体" w:eastAsia="宋体" w:cs="宋体"/>
          <w:b/>
          <w:bCs/>
          <w:sz w:val="20"/>
          <w:szCs w:val="20"/>
          <w:highlight w:val="none"/>
          <w:lang w:val="zh-CN"/>
        </w:rPr>
        <w:t>1.4 付款方式和发票开具方式</w:t>
      </w:r>
      <w:bookmarkEnd w:id="94"/>
      <w:bookmarkEnd w:id="95"/>
      <w:bookmarkEnd w:id="96"/>
    </w:p>
    <w:p>
      <w:pPr>
        <w:pStyle w:val="138"/>
        <w:spacing w:before="0" w:beforeAutospacing="0" w:after="0" w:afterAutospacing="0" w:line="580" w:lineRule="exact"/>
        <w:ind w:firstLine="400" w:firstLineChars="200"/>
        <w:jc w:val="both"/>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1.4.1付款方式：</w:t>
      </w:r>
      <w:r>
        <w:rPr>
          <w:rFonts w:hint="eastAsia" w:ascii="宋体" w:hAnsi="宋体" w:eastAsia="宋体" w:cs="宋体"/>
          <w:sz w:val="20"/>
          <w:szCs w:val="20"/>
          <w:highlight w:val="none"/>
          <w:u w:val="single"/>
          <w:lang w:val="en-US" w:eastAsia="zh-CN"/>
        </w:rPr>
        <w:t xml:space="preserve">                                                </w:t>
      </w:r>
      <w:r>
        <w:rPr>
          <w:rFonts w:hint="eastAsia" w:ascii="宋体" w:hAnsi="宋体" w:eastAsia="宋体" w:cs="宋体"/>
          <w:sz w:val="20"/>
          <w:szCs w:val="20"/>
          <w:highlight w:val="none"/>
          <w:lang w:val="en-US" w:eastAsia="zh-CN"/>
        </w:rPr>
        <w:t>。</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1.4.2发票开具方式：</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97" w:name="_Toc19304"/>
      <w:bookmarkStart w:id="98" w:name="_Toc32071"/>
      <w:bookmarkStart w:id="99" w:name="_Toc2846"/>
      <w:r>
        <w:rPr>
          <w:rFonts w:hint="eastAsia" w:ascii="宋体" w:hAnsi="宋体" w:eastAsia="宋体" w:cs="宋体"/>
          <w:b/>
          <w:bCs/>
          <w:sz w:val="20"/>
          <w:szCs w:val="20"/>
          <w:highlight w:val="none"/>
          <w:lang w:val="zh-CN"/>
        </w:rPr>
        <w:t>1.5 服务期限、地点和方式</w:t>
      </w:r>
      <w:bookmarkEnd w:id="97"/>
      <w:bookmarkEnd w:id="98"/>
      <w:bookmarkEnd w:id="99"/>
    </w:p>
    <w:p>
      <w:pPr>
        <w:spacing w:line="360" w:lineRule="auto"/>
        <w:ind w:firstLine="435"/>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1.5.1服务期限：</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1.5.2服务地点：</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1.5.3服务方式：</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100" w:name="_Toc21423"/>
      <w:bookmarkStart w:id="101" w:name="_Toc27250"/>
      <w:bookmarkStart w:id="102" w:name="_Toc19554"/>
      <w:r>
        <w:rPr>
          <w:rFonts w:hint="eastAsia" w:ascii="宋体" w:hAnsi="宋体" w:eastAsia="宋体" w:cs="宋体"/>
          <w:b/>
          <w:bCs/>
          <w:sz w:val="20"/>
          <w:szCs w:val="20"/>
          <w:highlight w:val="none"/>
          <w:lang w:val="zh-CN"/>
        </w:rPr>
        <w:t>1.6 违约责任</w:t>
      </w:r>
      <w:bookmarkEnd w:id="100"/>
      <w:bookmarkEnd w:id="101"/>
      <w:bookmarkEnd w:id="102"/>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%计算，最高限额为本合同总价的</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%；迟延履行的违约金计算数额达到前述最高限额之日起，甲方有权在要求乙方支付违约金的同时，书面通知乙方解除本合同；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%计算，最高限额为本合同总价的</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%；迟延付款的违约金计算数额达到前述最高限额之日起，乙方有权在要求甲方支付违约金的同时，书面通知甲方解除本合同；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37"/>
        <w:outlineLvl w:val="3"/>
        <w:rPr>
          <w:rFonts w:hint="eastAsia" w:ascii="宋体" w:hAnsi="宋体" w:eastAsia="宋体" w:cs="宋体"/>
          <w:b/>
          <w:bCs/>
          <w:sz w:val="20"/>
          <w:szCs w:val="20"/>
          <w:highlight w:val="none"/>
          <w:lang w:val="zh-CN"/>
        </w:rPr>
      </w:pPr>
      <w:bookmarkStart w:id="103" w:name="_Toc28375"/>
      <w:bookmarkStart w:id="104" w:name="_Toc15583"/>
      <w:bookmarkStart w:id="105" w:name="_Toc16021"/>
      <w:r>
        <w:rPr>
          <w:rFonts w:hint="eastAsia" w:ascii="宋体" w:hAnsi="宋体" w:eastAsia="宋体" w:cs="宋体"/>
          <w:b/>
          <w:bCs/>
          <w:sz w:val="20"/>
          <w:szCs w:val="20"/>
          <w:highlight w:val="none"/>
          <w:lang w:val="zh-CN"/>
        </w:rPr>
        <w:t>1.7 合同争议的解决</w:t>
      </w:r>
      <w:bookmarkEnd w:id="103"/>
      <w:bookmarkEnd w:id="104"/>
      <w:bookmarkEnd w:id="105"/>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种方式解决：</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1.7.1将争议提交</w:t>
      </w:r>
      <w:r>
        <w:rPr>
          <w:rFonts w:hint="eastAsia" w:ascii="宋体" w:hAnsi="宋体" w:eastAsia="宋体" w:cs="宋体"/>
          <w:sz w:val="20"/>
          <w:szCs w:val="20"/>
          <w:highlight w:val="none"/>
          <w:u w:val="none"/>
          <w:lang w:eastAsia="zh-CN"/>
        </w:rPr>
        <w:t>滁州</w:t>
      </w:r>
      <w:r>
        <w:rPr>
          <w:rFonts w:hint="eastAsia" w:ascii="宋体" w:hAnsi="宋体" w:eastAsia="宋体" w:cs="宋体"/>
          <w:sz w:val="20"/>
          <w:szCs w:val="20"/>
          <w:highlight w:val="none"/>
        </w:rPr>
        <w:t>仲裁委员会依申请仲裁时其现行有效的仲裁规则裁决；</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1.7.2向甲方（采购人）</w:t>
      </w:r>
      <w:r>
        <w:rPr>
          <w:rFonts w:hint="eastAsia" w:ascii="宋体" w:hAnsi="宋体" w:eastAsia="宋体" w:cs="宋体"/>
          <w:color w:val="000000"/>
          <w:sz w:val="20"/>
          <w:szCs w:val="20"/>
          <w:u w:val="none" w:color="000000"/>
        </w:rPr>
        <w:t>所在地</w:t>
      </w:r>
      <w:r>
        <w:rPr>
          <w:rFonts w:hint="eastAsia" w:ascii="宋体" w:hAnsi="宋体" w:eastAsia="宋体" w:cs="宋体"/>
          <w:sz w:val="20"/>
          <w:szCs w:val="20"/>
          <w:highlight w:val="none"/>
        </w:rPr>
        <w:t>人民法院起诉。</w:t>
      </w:r>
    </w:p>
    <w:p>
      <w:pPr>
        <w:spacing w:line="360" w:lineRule="auto"/>
        <w:ind w:firstLine="437"/>
        <w:outlineLvl w:val="3"/>
        <w:rPr>
          <w:rFonts w:hint="eastAsia" w:ascii="宋体" w:hAnsi="宋体" w:eastAsia="宋体" w:cs="宋体"/>
          <w:b/>
          <w:bCs/>
          <w:sz w:val="20"/>
          <w:szCs w:val="20"/>
          <w:highlight w:val="none"/>
          <w:lang w:val="zh-CN"/>
        </w:rPr>
      </w:pPr>
      <w:bookmarkStart w:id="106" w:name="_Toc15322"/>
      <w:bookmarkStart w:id="107" w:name="_Toc11173"/>
      <w:bookmarkStart w:id="108" w:name="_Toc7245"/>
      <w:r>
        <w:rPr>
          <w:rFonts w:hint="eastAsia" w:ascii="宋体" w:hAnsi="宋体" w:eastAsia="宋体" w:cs="宋体"/>
          <w:b/>
          <w:bCs/>
          <w:sz w:val="20"/>
          <w:szCs w:val="20"/>
          <w:highlight w:val="none"/>
          <w:lang w:val="zh-CN"/>
        </w:rPr>
        <w:t>1.8 合同生效</w:t>
      </w:r>
      <w:bookmarkEnd w:id="106"/>
      <w:bookmarkEnd w:id="107"/>
      <w:bookmarkEnd w:id="108"/>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本合同自双方当事人盖章时生效。</w:t>
      </w:r>
    </w:p>
    <w:p>
      <w:pPr>
        <w:autoSpaceDE w:val="0"/>
        <w:autoSpaceDN w:val="0"/>
        <w:adjustRightInd w:val="0"/>
        <w:spacing w:line="560" w:lineRule="exact"/>
        <w:rPr>
          <w:rFonts w:hint="eastAsia" w:ascii="宋体" w:hAnsi="宋体" w:eastAsia="宋体" w:cs="宋体"/>
          <w:sz w:val="20"/>
          <w:szCs w:val="20"/>
          <w:highlight w:val="none"/>
          <w:lang w:val="zh-CN"/>
        </w:rPr>
      </w:pPr>
    </w:p>
    <w:p>
      <w:pPr>
        <w:autoSpaceDE w:val="0"/>
        <w:autoSpaceDN w:val="0"/>
        <w:adjustRightInd w:val="0"/>
        <w:spacing w:line="560" w:lineRule="exact"/>
        <w:rPr>
          <w:rFonts w:hint="eastAsia" w:ascii="宋体" w:hAnsi="宋体" w:eastAsia="宋体" w:cs="宋体"/>
          <w:sz w:val="20"/>
          <w:szCs w:val="20"/>
          <w:highlight w:val="none"/>
          <w:lang w:val="zh-CN"/>
        </w:rPr>
      </w:pPr>
    </w:p>
    <w:p>
      <w:pPr>
        <w:autoSpaceDE w:val="0"/>
        <w:autoSpaceDN w:val="0"/>
        <w:adjustRightInd w:val="0"/>
        <w:spacing w:line="560" w:lineRule="exact"/>
        <w:rPr>
          <w:rFonts w:hint="eastAsia" w:ascii="宋体" w:hAnsi="宋体" w:eastAsia="宋体" w:cs="宋体"/>
          <w:bCs/>
          <w:sz w:val="20"/>
          <w:szCs w:val="20"/>
          <w:highlight w:val="none"/>
          <w:lang w:val="zh-CN"/>
        </w:rPr>
      </w:pPr>
      <w:r>
        <w:rPr>
          <w:rFonts w:hint="eastAsia" w:ascii="宋体" w:hAnsi="宋体" w:eastAsia="宋体" w:cs="宋体"/>
          <w:bCs/>
          <w:sz w:val="20"/>
          <w:szCs w:val="20"/>
          <w:highlight w:val="none"/>
          <w:lang w:val="zh-CN"/>
        </w:rPr>
        <w:t>甲    方：</w:t>
      </w:r>
      <w:r>
        <w:rPr>
          <w:rFonts w:hint="eastAsia" w:ascii="宋体" w:hAnsi="宋体" w:eastAsia="宋体" w:cs="宋体"/>
          <w:bCs/>
          <w:sz w:val="20"/>
          <w:szCs w:val="20"/>
          <w:highlight w:val="none"/>
          <w:u w:val="single"/>
          <w:lang w:val="zh-CN"/>
        </w:rPr>
        <w:t xml:space="preserve">    （单位盖章）     </w:t>
      </w:r>
      <w:r>
        <w:rPr>
          <w:rFonts w:hint="eastAsia" w:ascii="宋体" w:hAnsi="宋体" w:eastAsia="宋体" w:cs="宋体"/>
          <w:bCs/>
          <w:sz w:val="20"/>
          <w:szCs w:val="20"/>
          <w:highlight w:val="none"/>
          <w:lang w:val="zh-CN"/>
        </w:rPr>
        <w:t xml:space="preserve">          乙</w:t>
      </w:r>
      <w:r>
        <w:rPr>
          <w:rFonts w:hint="eastAsia" w:ascii="宋体" w:hAnsi="宋体" w:eastAsia="宋体" w:cs="宋体"/>
          <w:bCs/>
          <w:sz w:val="20"/>
          <w:szCs w:val="20"/>
          <w:highlight w:val="none"/>
          <w:lang w:val="en-US" w:eastAsia="zh-CN"/>
        </w:rPr>
        <w:t xml:space="preserve">    </w:t>
      </w:r>
      <w:r>
        <w:rPr>
          <w:rFonts w:hint="eastAsia" w:ascii="宋体" w:hAnsi="宋体" w:eastAsia="宋体" w:cs="宋体"/>
          <w:bCs/>
          <w:sz w:val="20"/>
          <w:szCs w:val="20"/>
          <w:highlight w:val="none"/>
          <w:lang w:val="zh-CN"/>
        </w:rPr>
        <w:t>方：</w:t>
      </w:r>
      <w:r>
        <w:rPr>
          <w:rFonts w:hint="eastAsia" w:ascii="宋体" w:hAnsi="宋体" w:eastAsia="宋体" w:cs="宋体"/>
          <w:bCs/>
          <w:sz w:val="20"/>
          <w:szCs w:val="20"/>
          <w:highlight w:val="none"/>
          <w:u w:val="single"/>
          <w:lang w:val="zh-CN"/>
        </w:rPr>
        <w:t xml:space="preserve">    （单位盖章）     </w:t>
      </w:r>
    </w:p>
    <w:p>
      <w:pPr>
        <w:autoSpaceDE w:val="0"/>
        <w:autoSpaceDN w:val="0"/>
        <w:adjustRightInd w:val="0"/>
        <w:spacing w:line="560" w:lineRule="exact"/>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法定代表人                               法定代表人</w:t>
      </w:r>
    </w:p>
    <w:p>
      <w:pPr>
        <w:autoSpaceDE w:val="0"/>
        <w:autoSpaceDN w:val="0"/>
        <w:adjustRightInd w:val="0"/>
        <w:spacing w:line="560" w:lineRule="exact"/>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或授权代表（签字）：                     或授权代表（签字）：</w:t>
      </w:r>
    </w:p>
    <w:p>
      <w:pPr>
        <w:widowControl/>
        <w:spacing w:line="560" w:lineRule="exact"/>
        <w:jc w:val="left"/>
        <w:rPr>
          <w:rFonts w:hint="eastAsia" w:ascii="宋体" w:hAnsi="宋体" w:eastAsia="宋体" w:cs="宋体"/>
          <w:bCs/>
          <w:sz w:val="20"/>
          <w:szCs w:val="20"/>
          <w:highlight w:val="none"/>
        </w:rPr>
      </w:pPr>
      <w:bookmarkStart w:id="109" w:name="_Toc331685783"/>
      <w:r>
        <w:rPr>
          <w:rFonts w:hint="eastAsia" w:ascii="宋体" w:hAnsi="宋体" w:eastAsia="宋体" w:cs="宋体"/>
          <w:bCs/>
          <w:sz w:val="20"/>
          <w:szCs w:val="20"/>
          <w:highlight w:val="none"/>
        </w:rPr>
        <w:t>时间：</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年</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月</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日               时间：</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年</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月</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日</w:t>
      </w:r>
    </w:p>
    <w:p>
      <w:pPr>
        <w:widowControl/>
        <w:jc w:val="left"/>
        <w:rPr>
          <w:rFonts w:hint="eastAsia" w:ascii="宋体" w:hAnsi="宋体" w:eastAsia="宋体" w:cs="宋体"/>
          <w:b/>
          <w:sz w:val="20"/>
          <w:szCs w:val="20"/>
          <w:highlight w:val="none"/>
        </w:rPr>
      </w:pPr>
      <w:r>
        <w:rPr>
          <w:rFonts w:hint="eastAsia" w:ascii="宋体" w:hAnsi="宋体" w:eastAsia="宋体" w:cs="宋体"/>
          <w:b/>
          <w:sz w:val="20"/>
          <w:szCs w:val="20"/>
          <w:highlight w:val="none"/>
        </w:rPr>
        <w:br w:type="page"/>
      </w:r>
    </w:p>
    <w:p>
      <w:pPr>
        <w:spacing w:line="360" w:lineRule="auto"/>
        <w:jc w:val="center"/>
        <w:outlineLvl w:val="2"/>
        <w:rPr>
          <w:rFonts w:hint="eastAsia" w:ascii="宋体" w:hAnsi="宋体" w:eastAsia="宋体" w:cs="宋体"/>
          <w:b/>
          <w:sz w:val="20"/>
          <w:szCs w:val="20"/>
          <w:highlight w:val="none"/>
        </w:rPr>
      </w:pPr>
      <w:r>
        <w:rPr>
          <w:rFonts w:hint="eastAsia" w:ascii="宋体" w:hAnsi="宋体" w:eastAsia="宋体" w:cs="宋体"/>
          <w:b/>
          <w:sz w:val="20"/>
          <w:szCs w:val="20"/>
          <w:highlight w:val="none"/>
        </w:rPr>
        <w:t>第二部分 合同一般条款</w:t>
      </w:r>
      <w:bookmarkEnd w:id="109"/>
    </w:p>
    <w:p>
      <w:pPr>
        <w:spacing w:line="360" w:lineRule="auto"/>
        <w:ind w:firstLine="437"/>
        <w:outlineLvl w:val="3"/>
        <w:rPr>
          <w:rFonts w:hint="eastAsia" w:ascii="宋体" w:hAnsi="宋体" w:eastAsia="宋体" w:cs="宋体"/>
          <w:b/>
          <w:bCs/>
          <w:sz w:val="20"/>
          <w:szCs w:val="20"/>
          <w:highlight w:val="none"/>
          <w:lang w:val="zh-CN"/>
        </w:rPr>
      </w:pPr>
      <w:bookmarkStart w:id="110" w:name="_Toc259093669"/>
      <w:bookmarkStart w:id="111" w:name="_Toc279701240"/>
      <w:bookmarkStart w:id="112" w:name="_Ref467379109"/>
      <w:bookmarkStart w:id="113" w:name="_Ref467379214"/>
      <w:bookmarkStart w:id="114" w:name="_Ref467378404"/>
      <w:bookmarkStart w:id="115" w:name="_Ref467379205"/>
      <w:bookmarkStart w:id="116" w:name="_Toc487900349"/>
      <w:bookmarkStart w:id="117" w:name="_Toc16917"/>
      <w:bookmarkStart w:id="118" w:name="_Ref467378499"/>
      <w:bookmarkStart w:id="119" w:name="_Ref467379225"/>
      <w:bookmarkStart w:id="120" w:name="_Ref467379101"/>
      <w:bookmarkStart w:id="121" w:name="_Ref467378463"/>
      <w:bookmarkStart w:id="122" w:name="_Ref467379195"/>
      <w:bookmarkStart w:id="123" w:name="_Ref467379094"/>
      <w:bookmarkStart w:id="124" w:name="_Toc28763"/>
      <w:bookmarkStart w:id="125" w:name="_Toc19614"/>
      <w:r>
        <w:rPr>
          <w:rFonts w:hint="eastAsia" w:ascii="宋体" w:hAnsi="宋体" w:eastAsia="宋体" w:cs="宋体"/>
          <w:b/>
          <w:bCs/>
          <w:sz w:val="20"/>
          <w:szCs w:val="20"/>
          <w:highlight w:val="none"/>
          <w:lang w:val="zh-CN"/>
        </w:rPr>
        <w:t>2.1 定义</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本合同中的下列词语应按以下内容进行解释：</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2.1.1“合同”系指采购人和中标人签订的载明双方当事人所达成的协议，并包括所有的附件、附录和构成合同的其他文件。</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2.1.2“合同价”系指根据合同约定，中标人在完全履行合同义务后，采购人应支付给中标人的价格。</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2.1.3“服务”系指中标人根据合同约定应向采购人履行的除货物和工程以外的其他政府采购对象，包括采购人自身需要的服务和向社会公众提供的公共服务。</w:t>
      </w:r>
    </w:p>
    <w:p>
      <w:pPr>
        <w:spacing w:line="360" w:lineRule="auto"/>
        <w:ind w:firstLine="435"/>
        <w:rPr>
          <w:rFonts w:hint="eastAsia" w:ascii="宋体" w:hAnsi="宋体" w:eastAsia="宋体" w:cs="宋体"/>
          <w:sz w:val="20"/>
          <w:szCs w:val="20"/>
          <w:highlight w:val="none"/>
        </w:rPr>
      </w:pPr>
      <w:bookmarkStart w:id="126" w:name="_Ref467378840"/>
      <w:r>
        <w:rPr>
          <w:rFonts w:hint="eastAsia" w:ascii="宋体" w:hAnsi="宋体" w:eastAsia="宋体" w:cs="宋体"/>
          <w:sz w:val="20"/>
          <w:szCs w:val="20"/>
          <w:highlight w:val="none"/>
        </w:rPr>
        <w:t>2.1.4“甲方”系指与中标人签署合同的采购人</w:t>
      </w:r>
      <w:bookmarkEnd w:id="126"/>
      <w:r>
        <w:rPr>
          <w:rFonts w:hint="eastAsia" w:ascii="宋体" w:hAnsi="宋体" w:eastAsia="宋体" w:cs="宋体"/>
          <w:sz w:val="20"/>
          <w:szCs w:val="20"/>
          <w:highlight w:val="none"/>
        </w:rPr>
        <w:t>；采购人委托采购代理机构代表其与乙方签订合同的，采购人的授权委托书作为合同附件。</w:t>
      </w:r>
    </w:p>
    <w:p>
      <w:pPr>
        <w:spacing w:line="360" w:lineRule="auto"/>
        <w:ind w:firstLine="435"/>
        <w:rPr>
          <w:rFonts w:hint="eastAsia" w:ascii="宋体" w:hAnsi="宋体" w:eastAsia="宋体" w:cs="宋体"/>
          <w:sz w:val="20"/>
          <w:szCs w:val="20"/>
          <w:highlight w:val="none"/>
        </w:rPr>
      </w:pPr>
      <w:bookmarkStart w:id="127" w:name="_Ref467379400"/>
      <w:r>
        <w:rPr>
          <w:rFonts w:hint="eastAsia" w:ascii="宋体" w:hAnsi="宋体" w:eastAsia="宋体" w:cs="宋体"/>
          <w:sz w:val="20"/>
          <w:szCs w:val="20"/>
          <w:highlight w:val="none"/>
        </w:rPr>
        <w:t>2.1.5“乙方”系指根据合同约定提供服务的中标人</w:t>
      </w:r>
      <w:bookmarkEnd w:id="127"/>
      <w:r>
        <w:rPr>
          <w:rFonts w:hint="eastAsia" w:ascii="宋体" w:hAnsi="宋体" w:eastAsia="宋体" w:cs="宋体"/>
          <w:sz w:val="20"/>
          <w:szCs w:val="20"/>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hint="eastAsia" w:ascii="宋体" w:hAnsi="宋体" w:eastAsia="宋体" w:cs="宋体"/>
          <w:sz w:val="20"/>
          <w:szCs w:val="20"/>
          <w:highlight w:val="none"/>
        </w:rPr>
      </w:pPr>
      <w:bookmarkStart w:id="128" w:name="_Ref467379436"/>
      <w:r>
        <w:rPr>
          <w:rFonts w:hint="eastAsia" w:ascii="宋体" w:hAnsi="宋体" w:eastAsia="宋体" w:cs="宋体"/>
          <w:sz w:val="20"/>
          <w:szCs w:val="20"/>
          <w:highlight w:val="none"/>
        </w:rPr>
        <w:t>2.1.6“现场”系指合同约定提供服务的地点。</w:t>
      </w:r>
      <w:bookmarkEnd w:id="128"/>
    </w:p>
    <w:p>
      <w:pPr>
        <w:spacing w:line="360" w:lineRule="auto"/>
        <w:ind w:firstLine="437"/>
        <w:outlineLvl w:val="3"/>
        <w:rPr>
          <w:rFonts w:hint="eastAsia" w:ascii="宋体" w:hAnsi="宋体" w:eastAsia="宋体" w:cs="宋体"/>
          <w:b/>
          <w:bCs/>
          <w:sz w:val="20"/>
          <w:szCs w:val="20"/>
          <w:highlight w:val="none"/>
          <w:lang w:val="zh-CN"/>
        </w:rPr>
      </w:pPr>
      <w:bookmarkStart w:id="129" w:name="_Toc279701241"/>
      <w:bookmarkStart w:id="130" w:name="_Toc27635"/>
      <w:bookmarkStart w:id="131" w:name="_Toc32504"/>
      <w:bookmarkStart w:id="132" w:name="_Toc487900350"/>
      <w:bookmarkStart w:id="133" w:name="_Toc13336"/>
      <w:bookmarkStart w:id="134" w:name="_Toc259093670"/>
      <w:r>
        <w:rPr>
          <w:rFonts w:hint="eastAsia" w:ascii="宋体" w:hAnsi="宋体" w:eastAsia="宋体" w:cs="宋体"/>
          <w:b/>
          <w:bCs/>
          <w:sz w:val="20"/>
          <w:szCs w:val="20"/>
          <w:highlight w:val="none"/>
          <w:lang w:val="zh-CN"/>
        </w:rPr>
        <w:t>2.2 技术规范</w:t>
      </w:r>
      <w:bookmarkEnd w:id="129"/>
      <w:bookmarkEnd w:id="130"/>
      <w:bookmarkEnd w:id="131"/>
      <w:bookmarkEnd w:id="132"/>
      <w:bookmarkEnd w:id="133"/>
      <w:bookmarkEnd w:id="134"/>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hint="eastAsia" w:ascii="宋体" w:hAnsi="宋体" w:eastAsia="宋体" w:cs="宋体"/>
          <w:b/>
          <w:bCs/>
          <w:sz w:val="20"/>
          <w:szCs w:val="20"/>
          <w:highlight w:val="none"/>
          <w:lang w:val="zh-CN"/>
        </w:rPr>
      </w:pPr>
      <w:bookmarkStart w:id="135" w:name="_Toc9829"/>
      <w:bookmarkStart w:id="136" w:name="_Toc487900351"/>
      <w:bookmarkStart w:id="137" w:name="_Toc31634"/>
      <w:bookmarkStart w:id="138" w:name="_Toc279701242"/>
      <w:bookmarkStart w:id="139" w:name="_Toc27853"/>
      <w:bookmarkStart w:id="140" w:name="_Toc259093671"/>
      <w:r>
        <w:rPr>
          <w:rFonts w:hint="eastAsia" w:ascii="宋体" w:hAnsi="宋体" w:eastAsia="宋体" w:cs="宋体"/>
          <w:b/>
          <w:bCs/>
          <w:sz w:val="20"/>
          <w:szCs w:val="20"/>
          <w:highlight w:val="none"/>
          <w:lang w:val="zh-CN"/>
        </w:rPr>
        <w:t>2.3 知识产权</w:t>
      </w:r>
      <w:bookmarkEnd w:id="135"/>
      <w:bookmarkEnd w:id="136"/>
      <w:bookmarkEnd w:id="137"/>
      <w:bookmarkEnd w:id="138"/>
      <w:bookmarkEnd w:id="139"/>
      <w:bookmarkEnd w:id="140"/>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2.3.2具有知识产权的计算机软件等货物的知识产权归属，详见</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141" w:name="_Ref467379536"/>
      <w:bookmarkStart w:id="142" w:name="_Toc487900354"/>
      <w:bookmarkStart w:id="143" w:name="_Ref467379542"/>
      <w:bookmarkStart w:id="144" w:name="_Toc279701245"/>
      <w:bookmarkStart w:id="145" w:name="_Ref467378541"/>
      <w:bookmarkStart w:id="146" w:name="_Ref467379527"/>
      <w:bookmarkStart w:id="147" w:name="_Toc259093674"/>
      <w:bookmarkStart w:id="148" w:name="_Ref467378591"/>
      <w:bookmarkStart w:id="149" w:name="_Toc26182"/>
      <w:bookmarkStart w:id="150" w:name="_Toc30272"/>
      <w:bookmarkStart w:id="151" w:name="_Toc19074"/>
      <w:r>
        <w:rPr>
          <w:rFonts w:hint="eastAsia" w:ascii="宋体" w:hAnsi="宋体" w:eastAsia="宋体" w:cs="宋体"/>
          <w:b/>
          <w:bCs/>
          <w:sz w:val="20"/>
          <w:szCs w:val="20"/>
          <w:highlight w:val="none"/>
          <w:lang w:val="zh-CN"/>
        </w:rPr>
        <w:t>2.</w:t>
      </w:r>
      <w:bookmarkEnd w:id="141"/>
      <w:bookmarkEnd w:id="142"/>
      <w:bookmarkEnd w:id="143"/>
      <w:bookmarkEnd w:id="144"/>
      <w:bookmarkEnd w:id="145"/>
      <w:bookmarkEnd w:id="146"/>
      <w:bookmarkEnd w:id="147"/>
      <w:bookmarkEnd w:id="148"/>
      <w:r>
        <w:rPr>
          <w:rFonts w:hint="eastAsia" w:ascii="宋体" w:hAnsi="宋体" w:eastAsia="宋体" w:cs="宋体"/>
          <w:b/>
          <w:bCs/>
          <w:sz w:val="20"/>
          <w:szCs w:val="20"/>
          <w:highlight w:val="none"/>
          <w:lang w:val="zh-CN"/>
        </w:rPr>
        <w:t>4 履约检查和问题反馈</w:t>
      </w:r>
      <w:bookmarkEnd w:id="149"/>
      <w:bookmarkEnd w:id="150"/>
      <w:bookmarkEnd w:id="151"/>
    </w:p>
    <w:p>
      <w:pPr>
        <w:spacing w:line="360" w:lineRule="auto"/>
        <w:ind w:firstLine="435"/>
        <w:rPr>
          <w:rFonts w:hint="eastAsia" w:ascii="宋体" w:hAnsi="宋体" w:eastAsia="宋体" w:cs="宋体"/>
          <w:sz w:val="20"/>
          <w:szCs w:val="20"/>
          <w:highlight w:val="none"/>
        </w:rPr>
      </w:pPr>
      <w:bookmarkStart w:id="152" w:name="_Toc186431854"/>
      <w:bookmarkStart w:id="153" w:name="_Toc259093676"/>
      <w:bookmarkStart w:id="154" w:name="_Ref467379807"/>
      <w:bookmarkStart w:id="155" w:name="_Toc279701247"/>
      <w:bookmarkStart w:id="156" w:name="_Toc487900357"/>
      <w:bookmarkStart w:id="157" w:name="_Ref467379793"/>
      <w:r>
        <w:rPr>
          <w:rFonts w:hint="eastAsia" w:ascii="宋体" w:hAnsi="宋体" w:eastAsia="宋体" w:cs="宋体"/>
          <w:sz w:val="20"/>
          <w:szCs w:val="20"/>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2.4.2合同履行期间，甲方有权将履行过程中出现的问题反馈给乙方，双方当事人应以书面形式约定需要完善和改进的内容</w:t>
      </w:r>
      <w:bookmarkEnd w:id="152"/>
      <w:bookmarkStart w:id="158" w:name="_Toc186431855"/>
      <w:r>
        <w:rPr>
          <w:rFonts w:hint="eastAsia" w:ascii="宋体" w:hAnsi="宋体" w:eastAsia="宋体" w:cs="宋体"/>
          <w:sz w:val="20"/>
          <w:szCs w:val="20"/>
          <w:highlight w:val="none"/>
        </w:rPr>
        <w:t>。</w:t>
      </w:r>
    </w:p>
    <w:bookmarkEnd w:id="158"/>
    <w:p>
      <w:pPr>
        <w:spacing w:line="360" w:lineRule="auto"/>
        <w:ind w:firstLine="437"/>
        <w:outlineLvl w:val="3"/>
        <w:rPr>
          <w:rFonts w:hint="eastAsia" w:ascii="宋体" w:hAnsi="宋体" w:eastAsia="宋体" w:cs="宋体"/>
          <w:b/>
          <w:bCs/>
          <w:sz w:val="20"/>
          <w:szCs w:val="20"/>
          <w:highlight w:val="none"/>
          <w:lang w:val="zh-CN"/>
        </w:rPr>
      </w:pPr>
      <w:bookmarkStart w:id="159" w:name="_Toc28451"/>
      <w:bookmarkStart w:id="160" w:name="_Toc7836"/>
      <w:bookmarkStart w:id="161" w:name="_Toc19219"/>
      <w:r>
        <w:rPr>
          <w:rFonts w:hint="eastAsia" w:ascii="宋体" w:hAnsi="宋体" w:eastAsia="宋体" w:cs="宋体"/>
          <w:b/>
          <w:bCs/>
          <w:sz w:val="20"/>
          <w:szCs w:val="20"/>
          <w:highlight w:val="none"/>
          <w:lang w:val="zh-CN"/>
        </w:rPr>
        <w:t>2.5 结算方式和付款条件</w:t>
      </w:r>
      <w:bookmarkEnd w:id="153"/>
      <w:bookmarkEnd w:id="154"/>
      <w:bookmarkEnd w:id="155"/>
      <w:bookmarkEnd w:id="156"/>
      <w:bookmarkEnd w:id="157"/>
      <w:bookmarkEnd w:id="159"/>
      <w:bookmarkEnd w:id="160"/>
      <w:bookmarkEnd w:id="161"/>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详见</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162" w:name="_Toc279701248"/>
      <w:bookmarkStart w:id="163" w:name="_Toc259093677"/>
      <w:bookmarkStart w:id="164" w:name="_Ref467379852"/>
      <w:bookmarkStart w:id="165" w:name="_Ref467379923"/>
      <w:bookmarkStart w:id="166" w:name="_Toc487900358"/>
      <w:bookmarkStart w:id="167" w:name="_Ref467379863"/>
      <w:bookmarkStart w:id="168" w:name="_Toc3225"/>
      <w:bookmarkStart w:id="169" w:name="_Toc774"/>
      <w:bookmarkStart w:id="170" w:name="_Toc16110"/>
      <w:r>
        <w:rPr>
          <w:rFonts w:hint="eastAsia" w:ascii="宋体" w:hAnsi="宋体" w:eastAsia="宋体" w:cs="宋体"/>
          <w:b/>
          <w:bCs/>
          <w:sz w:val="20"/>
          <w:szCs w:val="20"/>
          <w:highlight w:val="none"/>
          <w:lang w:val="zh-CN"/>
        </w:rPr>
        <w:t>2.6 技术资料</w:t>
      </w:r>
      <w:bookmarkEnd w:id="162"/>
      <w:bookmarkEnd w:id="163"/>
      <w:bookmarkEnd w:id="164"/>
      <w:bookmarkEnd w:id="165"/>
      <w:bookmarkEnd w:id="166"/>
      <w:bookmarkEnd w:id="167"/>
      <w:r>
        <w:rPr>
          <w:rFonts w:hint="eastAsia" w:ascii="宋体" w:hAnsi="宋体" w:eastAsia="宋体" w:cs="宋体"/>
          <w:b/>
          <w:bCs/>
          <w:sz w:val="20"/>
          <w:szCs w:val="20"/>
          <w:highlight w:val="none"/>
          <w:lang w:val="zh-CN"/>
        </w:rPr>
        <w:t>和保密义务</w:t>
      </w:r>
      <w:bookmarkEnd w:id="168"/>
      <w:bookmarkEnd w:id="169"/>
      <w:bookmarkEnd w:id="170"/>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2.6.1乙方有权依据合同约定和项目需要，向甲方了解有关情况，调阅有关资料等，甲方应予积极配合；</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2.6.2乙方有义务妥善保管和保护由甲方提供的前款信息和资料等；</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hint="eastAsia" w:ascii="宋体" w:hAnsi="宋体" w:eastAsia="宋体" w:cs="宋体"/>
          <w:b/>
          <w:bCs/>
          <w:sz w:val="20"/>
          <w:szCs w:val="20"/>
          <w:highlight w:val="none"/>
          <w:lang w:val="zh-CN"/>
        </w:rPr>
      </w:pPr>
      <w:bookmarkStart w:id="171" w:name="_Toc7860"/>
      <w:r>
        <w:rPr>
          <w:rFonts w:hint="eastAsia" w:ascii="宋体" w:hAnsi="宋体" w:eastAsia="宋体" w:cs="宋体"/>
          <w:b/>
          <w:bCs/>
          <w:sz w:val="20"/>
          <w:szCs w:val="20"/>
          <w:highlight w:val="none"/>
          <w:lang w:val="zh-CN"/>
        </w:rPr>
        <w:t>2.7 质量保证</w:t>
      </w:r>
      <w:bookmarkEnd w:id="171"/>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2.7.1乙方应建立和完善履行合同的内部质量保证体系，并提供相关内部规章制度给甲方，以便甲方进行监督检查；</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2.7.2乙方应保证履行合同的人员数量和素质、软件和硬件设备的配置、场地、环境和设施等满足全面履行合同的要求，并应接受甲方的监督检查。</w:t>
      </w:r>
    </w:p>
    <w:p>
      <w:pPr>
        <w:spacing w:line="360" w:lineRule="auto"/>
        <w:ind w:firstLine="437"/>
        <w:outlineLvl w:val="3"/>
        <w:rPr>
          <w:rFonts w:hint="eastAsia" w:ascii="宋体" w:hAnsi="宋体" w:eastAsia="宋体" w:cs="宋体"/>
          <w:b/>
          <w:sz w:val="20"/>
          <w:szCs w:val="20"/>
          <w:highlight w:val="none"/>
        </w:rPr>
      </w:pPr>
      <w:bookmarkStart w:id="172" w:name="_Toc22267"/>
      <w:r>
        <w:rPr>
          <w:rFonts w:hint="eastAsia" w:ascii="宋体" w:hAnsi="宋体" w:eastAsia="宋体" w:cs="宋体"/>
          <w:b/>
          <w:sz w:val="20"/>
          <w:szCs w:val="20"/>
          <w:highlight w:val="none"/>
        </w:rPr>
        <w:t>2.8 延迟履行</w:t>
      </w:r>
      <w:bookmarkEnd w:id="172"/>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37"/>
        <w:outlineLvl w:val="3"/>
        <w:rPr>
          <w:rFonts w:hint="eastAsia" w:ascii="宋体" w:hAnsi="宋体" w:eastAsia="宋体" w:cs="宋体"/>
          <w:b/>
          <w:bCs/>
          <w:sz w:val="20"/>
          <w:szCs w:val="20"/>
          <w:highlight w:val="none"/>
          <w:lang w:val="zh-CN"/>
        </w:rPr>
      </w:pPr>
      <w:bookmarkStart w:id="173" w:name="_Toc7502"/>
      <w:bookmarkStart w:id="174" w:name="_Ref467378121"/>
      <w:bookmarkStart w:id="175" w:name="_Toc487900364"/>
      <w:bookmarkStart w:id="176" w:name="_Toc259093683"/>
      <w:bookmarkStart w:id="177" w:name="_Toc279701254"/>
      <w:r>
        <w:rPr>
          <w:rFonts w:hint="eastAsia" w:ascii="宋体" w:hAnsi="宋体" w:eastAsia="宋体" w:cs="宋体"/>
          <w:b/>
          <w:bCs/>
          <w:sz w:val="20"/>
          <w:szCs w:val="20"/>
          <w:highlight w:val="none"/>
          <w:lang w:val="zh-CN"/>
        </w:rPr>
        <w:t>2.9 合同变更</w:t>
      </w:r>
      <w:bookmarkEnd w:id="173"/>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2.9.1双方当事人协商一致，可以签订书面补充合同的形式变更合同，但不得违背采购文件确定的事项；</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2.9.2合同继续履行将损害国家利益和社会公共利益的，双方当事人应当以书面形式变更合同。有过错的一方应当承担赔偿责任，双方当事人都有过错的，各自承担相应的责任。</w:t>
      </w:r>
      <w:bookmarkStart w:id="178" w:name="_Toc279701259"/>
      <w:bookmarkStart w:id="179" w:name="_Toc259093688"/>
      <w:bookmarkStart w:id="180" w:name="_Toc487900369"/>
    </w:p>
    <w:p>
      <w:pPr>
        <w:spacing w:line="360" w:lineRule="auto"/>
        <w:ind w:firstLine="437"/>
        <w:outlineLvl w:val="3"/>
        <w:rPr>
          <w:rFonts w:hint="eastAsia" w:ascii="宋体" w:hAnsi="宋体" w:eastAsia="宋体" w:cs="宋体"/>
          <w:b/>
          <w:bCs/>
          <w:sz w:val="20"/>
          <w:szCs w:val="20"/>
          <w:highlight w:val="none"/>
          <w:lang w:val="zh-CN"/>
        </w:rPr>
      </w:pPr>
      <w:bookmarkStart w:id="181" w:name="_Toc15237"/>
      <w:bookmarkStart w:id="182" w:name="_Toc10366"/>
      <w:bookmarkStart w:id="183" w:name="_Toc22955"/>
      <w:r>
        <w:rPr>
          <w:rFonts w:hint="eastAsia" w:ascii="宋体" w:hAnsi="宋体" w:eastAsia="宋体" w:cs="宋体"/>
          <w:b/>
          <w:bCs/>
          <w:sz w:val="20"/>
          <w:szCs w:val="20"/>
          <w:highlight w:val="none"/>
          <w:lang w:val="zh-CN"/>
        </w:rPr>
        <w:t>2.10 合同转让</w:t>
      </w:r>
      <w:bookmarkEnd w:id="178"/>
      <w:bookmarkEnd w:id="179"/>
      <w:bookmarkEnd w:id="180"/>
      <w:r>
        <w:rPr>
          <w:rFonts w:hint="eastAsia" w:ascii="宋体" w:hAnsi="宋体" w:eastAsia="宋体" w:cs="宋体"/>
          <w:b/>
          <w:bCs/>
          <w:sz w:val="20"/>
          <w:szCs w:val="20"/>
          <w:highlight w:val="none"/>
          <w:lang w:val="zh-CN"/>
        </w:rPr>
        <w:t>和分包</w:t>
      </w:r>
      <w:bookmarkEnd w:id="181"/>
      <w:bookmarkEnd w:id="182"/>
      <w:bookmarkEnd w:id="183"/>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37"/>
        <w:outlineLvl w:val="3"/>
        <w:rPr>
          <w:rFonts w:hint="eastAsia" w:ascii="宋体" w:hAnsi="宋体" w:eastAsia="宋体" w:cs="宋体"/>
          <w:b/>
          <w:bCs/>
          <w:sz w:val="20"/>
          <w:szCs w:val="20"/>
          <w:highlight w:val="none"/>
          <w:lang w:val="zh-CN"/>
        </w:rPr>
      </w:pPr>
      <w:bookmarkStart w:id="184" w:name="_Toc14066"/>
      <w:bookmarkStart w:id="185" w:name="_Toc13566"/>
      <w:bookmarkStart w:id="186" w:name="_Toc16508"/>
      <w:r>
        <w:rPr>
          <w:rFonts w:hint="eastAsia" w:ascii="宋体" w:hAnsi="宋体" w:eastAsia="宋体" w:cs="宋体"/>
          <w:b/>
          <w:bCs/>
          <w:sz w:val="20"/>
          <w:szCs w:val="20"/>
          <w:highlight w:val="none"/>
          <w:lang w:val="zh-CN"/>
        </w:rPr>
        <w:t>2.11 不可抗力</w:t>
      </w:r>
      <w:bookmarkEnd w:id="184"/>
      <w:bookmarkEnd w:id="185"/>
      <w:bookmarkEnd w:id="186"/>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2.11.1如果任何一方遭遇法律规定的不可抗力，致使合同履行受阻时，履行合同的期限应予延长，延长的期限应相当于不可抗力所影响的时间；</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2.11.2因不可抗力致使不能实现合同目的的，当事人可以解除合同；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2.11.3因不可抗力致使合同有变更必要的，双方当事人应在</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约定时间内以书面形式变更合同；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2.11.4受不可抗力影响的一方在不可抗力发生后，应在</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约定时间内以书面形式通知对方当事人，并在</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约定时间内，将有关部门出具的证明文件送达对方当事人。</w:t>
      </w:r>
    </w:p>
    <w:p>
      <w:pPr>
        <w:spacing w:line="360" w:lineRule="auto"/>
        <w:ind w:firstLine="437"/>
        <w:outlineLvl w:val="3"/>
        <w:rPr>
          <w:rFonts w:hint="eastAsia" w:ascii="宋体" w:hAnsi="宋体" w:eastAsia="宋体" w:cs="宋体"/>
          <w:b/>
          <w:bCs/>
          <w:sz w:val="20"/>
          <w:szCs w:val="20"/>
          <w:highlight w:val="none"/>
          <w:lang w:val="zh-CN"/>
        </w:rPr>
      </w:pPr>
      <w:bookmarkStart w:id="187" w:name="_Toc279701255"/>
      <w:bookmarkStart w:id="188" w:name="_Toc689"/>
      <w:bookmarkStart w:id="189" w:name="_Toc6969"/>
      <w:bookmarkStart w:id="190" w:name="_Toc487900365"/>
      <w:bookmarkStart w:id="191" w:name="_Toc259093684"/>
      <w:bookmarkStart w:id="192" w:name="_Toc30676"/>
      <w:r>
        <w:rPr>
          <w:rFonts w:hint="eastAsia" w:ascii="宋体" w:hAnsi="宋体" w:eastAsia="宋体" w:cs="宋体"/>
          <w:b/>
          <w:bCs/>
          <w:sz w:val="20"/>
          <w:szCs w:val="20"/>
          <w:highlight w:val="none"/>
          <w:lang w:val="zh-CN"/>
        </w:rPr>
        <w:t>2.12 税费</w:t>
      </w:r>
      <w:bookmarkEnd w:id="187"/>
      <w:bookmarkEnd w:id="188"/>
      <w:bookmarkEnd w:id="189"/>
      <w:bookmarkEnd w:id="190"/>
      <w:bookmarkEnd w:id="191"/>
      <w:bookmarkEnd w:id="192"/>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与合同有关的一切税费，均按照中华人民共和国法律的相关规定缴纳。</w:t>
      </w:r>
    </w:p>
    <w:p>
      <w:pPr>
        <w:spacing w:line="360" w:lineRule="auto"/>
        <w:ind w:firstLine="437"/>
        <w:outlineLvl w:val="3"/>
        <w:rPr>
          <w:rFonts w:hint="eastAsia" w:ascii="宋体" w:hAnsi="宋体" w:eastAsia="宋体" w:cs="宋体"/>
          <w:b/>
          <w:bCs/>
          <w:sz w:val="20"/>
          <w:szCs w:val="20"/>
          <w:highlight w:val="none"/>
          <w:lang w:val="zh-CN"/>
        </w:rPr>
      </w:pPr>
      <w:bookmarkStart w:id="193" w:name="_Toc16959"/>
      <w:bookmarkStart w:id="194" w:name="_Toc279701258"/>
      <w:bookmarkStart w:id="195" w:name="_Toc7102"/>
      <w:bookmarkStart w:id="196" w:name="_Toc487900368"/>
      <w:bookmarkStart w:id="197" w:name="_Toc259093687"/>
      <w:bookmarkStart w:id="198" w:name="_Toc8298"/>
      <w:r>
        <w:rPr>
          <w:rFonts w:hint="eastAsia" w:ascii="宋体" w:hAnsi="宋体" w:eastAsia="宋体" w:cs="宋体"/>
          <w:b/>
          <w:bCs/>
          <w:sz w:val="20"/>
          <w:szCs w:val="20"/>
          <w:highlight w:val="none"/>
          <w:lang w:val="zh-CN"/>
        </w:rPr>
        <w:t>2.13 乙方破产</w:t>
      </w:r>
      <w:bookmarkEnd w:id="193"/>
      <w:bookmarkEnd w:id="194"/>
      <w:bookmarkEnd w:id="195"/>
      <w:bookmarkEnd w:id="196"/>
      <w:bookmarkEnd w:id="197"/>
      <w:bookmarkEnd w:id="198"/>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hint="eastAsia" w:ascii="宋体" w:hAnsi="宋体" w:eastAsia="宋体" w:cs="宋体"/>
          <w:b/>
          <w:sz w:val="20"/>
          <w:szCs w:val="20"/>
          <w:highlight w:val="none"/>
        </w:rPr>
      </w:pPr>
      <w:bookmarkStart w:id="199" w:name="_Toc15387"/>
      <w:bookmarkStart w:id="200" w:name="_Toc29333"/>
      <w:bookmarkStart w:id="201" w:name="_Toc6134"/>
      <w:r>
        <w:rPr>
          <w:rFonts w:hint="eastAsia" w:ascii="宋体" w:hAnsi="宋体" w:eastAsia="宋体" w:cs="宋体"/>
          <w:b/>
          <w:bCs/>
          <w:sz w:val="20"/>
          <w:szCs w:val="20"/>
          <w:highlight w:val="none"/>
          <w:lang w:val="zh-CN"/>
        </w:rPr>
        <w:t>2.14 合同中止、终止</w:t>
      </w:r>
      <w:bookmarkEnd w:id="199"/>
      <w:bookmarkEnd w:id="200"/>
      <w:bookmarkEnd w:id="201"/>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2.14.1双方当事人不得擅自中止或者终止合同；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hint="eastAsia" w:ascii="宋体" w:hAnsi="宋体" w:eastAsia="宋体" w:cs="宋体"/>
          <w:b/>
          <w:bCs/>
          <w:sz w:val="20"/>
          <w:szCs w:val="20"/>
          <w:highlight w:val="none"/>
          <w:lang w:val="zh-CN"/>
        </w:rPr>
      </w:pPr>
      <w:bookmarkStart w:id="202" w:name="_Toc14563"/>
      <w:bookmarkStart w:id="203" w:name="_Toc6596"/>
      <w:bookmarkStart w:id="204" w:name="_Toc1125"/>
      <w:r>
        <w:rPr>
          <w:rFonts w:hint="eastAsia" w:ascii="宋体" w:hAnsi="宋体" w:eastAsia="宋体" w:cs="宋体"/>
          <w:b/>
          <w:bCs/>
          <w:sz w:val="20"/>
          <w:szCs w:val="20"/>
          <w:highlight w:val="none"/>
          <w:lang w:val="zh-CN"/>
        </w:rPr>
        <w:t>2.15 检验和验收</w:t>
      </w:r>
      <w:bookmarkEnd w:id="202"/>
      <w:bookmarkEnd w:id="203"/>
      <w:bookmarkEnd w:id="204"/>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2.15.1乙方按照</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的约定，定期提交服务报告，甲方按照</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的约定进行定期验收；</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2.15.3检验和验收标准、程序等具体内容以及前述验收书的效力详见</w:t>
      </w:r>
      <w:r>
        <w:rPr>
          <w:rFonts w:hint="eastAsia" w:ascii="宋体" w:hAnsi="宋体" w:eastAsia="宋体" w:cs="宋体"/>
          <w:b/>
          <w:i/>
          <w:sz w:val="20"/>
          <w:szCs w:val="20"/>
          <w:highlight w:val="none"/>
          <w:u w:val="single"/>
        </w:rPr>
        <w:t>合同专用条款</w:t>
      </w:r>
      <w:r>
        <w:rPr>
          <w:rFonts w:hint="eastAsia" w:ascii="宋体" w:hAnsi="宋体" w:eastAsia="宋体" w:cs="宋体"/>
          <w:i/>
          <w:sz w:val="20"/>
          <w:szCs w:val="20"/>
          <w:highlight w:val="none"/>
        </w:rPr>
        <w:t>。</w:t>
      </w:r>
    </w:p>
    <w:bookmarkEnd w:id="174"/>
    <w:bookmarkEnd w:id="175"/>
    <w:bookmarkEnd w:id="176"/>
    <w:bookmarkEnd w:id="177"/>
    <w:p>
      <w:pPr>
        <w:spacing w:line="360" w:lineRule="auto"/>
        <w:ind w:firstLine="437"/>
        <w:outlineLvl w:val="3"/>
        <w:rPr>
          <w:rFonts w:hint="eastAsia" w:ascii="宋体" w:hAnsi="宋体" w:eastAsia="宋体" w:cs="宋体"/>
          <w:b/>
          <w:bCs/>
          <w:sz w:val="20"/>
          <w:szCs w:val="20"/>
          <w:highlight w:val="none"/>
        </w:rPr>
      </w:pPr>
      <w:bookmarkStart w:id="205" w:name="_Toc18567"/>
      <w:bookmarkStart w:id="206" w:name="_Toc279701263"/>
      <w:bookmarkStart w:id="207" w:name="_Toc487900373"/>
      <w:bookmarkStart w:id="208" w:name="_Toc12773"/>
      <w:bookmarkStart w:id="209" w:name="_Toc259093692"/>
      <w:bookmarkStart w:id="210" w:name="_Toc10330"/>
      <w:r>
        <w:rPr>
          <w:rFonts w:hint="eastAsia" w:ascii="宋体" w:hAnsi="宋体" w:eastAsia="宋体" w:cs="宋体"/>
          <w:b/>
          <w:bCs/>
          <w:sz w:val="20"/>
          <w:szCs w:val="20"/>
          <w:highlight w:val="none"/>
        </w:rPr>
        <w:t xml:space="preserve">2.16 </w:t>
      </w:r>
      <w:r>
        <w:rPr>
          <w:rFonts w:hint="eastAsia" w:ascii="宋体" w:hAnsi="宋体" w:eastAsia="宋体" w:cs="宋体"/>
          <w:b/>
          <w:bCs/>
          <w:sz w:val="20"/>
          <w:szCs w:val="20"/>
          <w:highlight w:val="none"/>
          <w:lang w:val="zh-CN"/>
        </w:rPr>
        <w:t>合同使用的文字和适用的法律</w:t>
      </w:r>
      <w:bookmarkEnd w:id="205"/>
      <w:bookmarkEnd w:id="206"/>
      <w:bookmarkEnd w:id="207"/>
      <w:bookmarkEnd w:id="208"/>
      <w:bookmarkEnd w:id="209"/>
      <w:bookmarkEnd w:id="210"/>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2.16.1合同使用汉语</w:t>
      </w:r>
      <w:r>
        <w:rPr>
          <w:rFonts w:hint="eastAsia" w:ascii="宋体" w:hAnsi="宋体" w:eastAsia="宋体" w:cs="宋体"/>
          <w:sz w:val="20"/>
          <w:szCs w:val="20"/>
          <w:highlight w:val="none"/>
          <w:lang w:eastAsia="zh-CN"/>
        </w:rPr>
        <w:t>进行</w:t>
      </w:r>
      <w:r>
        <w:rPr>
          <w:rFonts w:hint="eastAsia" w:ascii="宋体" w:hAnsi="宋体" w:eastAsia="宋体" w:cs="宋体"/>
          <w:sz w:val="20"/>
          <w:szCs w:val="20"/>
          <w:highlight w:val="none"/>
        </w:rPr>
        <w:t>书</w:t>
      </w:r>
      <w:r>
        <w:rPr>
          <w:rFonts w:hint="eastAsia" w:ascii="宋体" w:hAnsi="宋体" w:eastAsia="宋体" w:cs="宋体"/>
          <w:sz w:val="20"/>
          <w:szCs w:val="20"/>
          <w:highlight w:val="none"/>
          <w:lang w:eastAsia="zh-CN"/>
        </w:rPr>
        <w:t>写</w:t>
      </w:r>
      <w:r>
        <w:rPr>
          <w:rFonts w:hint="eastAsia" w:ascii="宋体" w:hAnsi="宋体" w:eastAsia="宋体" w:cs="宋体"/>
          <w:sz w:val="20"/>
          <w:szCs w:val="20"/>
          <w:highlight w:val="none"/>
        </w:rPr>
        <w:t>、变更和解释；</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2.16.2合同适用中华人民共和国法律。</w:t>
      </w:r>
    </w:p>
    <w:p>
      <w:pPr>
        <w:spacing w:line="360" w:lineRule="auto"/>
        <w:ind w:firstLine="437"/>
        <w:outlineLvl w:val="3"/>
        <w:rPr>
          <w:rFonts w:hint="eastAsia" w:ascii="宋体" w:hAnsi="宋体" w:eastAsia="宋体" w:cs="宋体"/>
          <w:b/>
          <w:sz w:val="20"/>
          <w:szCs w:val="20"/>
          <w:highlight w:val="none"/>
        </w:rPr>
      </w:pPr>
      <w:bookmarkStart w:id="211" w:name="_Toc19890"/>
      <w:bookmarkStart w:id="212" w:name="_Toc14001"/>
      <w:bookmarkStart w:id="213" w:name="_Toc6885"/>
      <w:r>
        <w:rPr>
          <w:rFonts w:hint="eastAsia" w:ascii="宋体" w:hAnsi="宋体" w:eastAsia="宋体" w:cs="宋体"/>
          <w:b/>
          <w:bCs/>
          <w:sz w:val="20"/>
          <w:szCs w:val="20"/>
          <w:highlight w:val="none"/>
          <w:lang w:val="zh-CN"/>
        </w:rPr>
        <w:t>2.1</w:t>
      </w:r>
      <w:r>
        <w:rPr>
          <w:rFonts w:hint="eastAsia" w:ascii="宋体" w:hAnsi="宋体" w:eastAsia="宋体" w:cs="宋体"/>
          <w:b/>
          <w:bCs/>
          <w:sz w:val="20"/>
          <w:szCs w:val="20"/>
          <w:highlight w:val="none"/>
          <w:lang w:val="en-US" w:eastAsia="zh-CN"/>
        </w:rPr>
        <w:t>7</w:t>
      </w:r>
      <w:r>
        <w:rPr>
          <w:rFonts w:hint="eastAsia" w:ascii="宋体" w:hAnsi="宋体" w:eastAsia="宋体" w:cs="宋体"/>
          <w:b/>
          <w:bCs/>
          <w:sz w:val="20"/>
          <w:szCs w:val="20"/>
          <w:highlight w:val="none"/>
          <w:lang w:val="zh-CN"/>
        </w:rPr>
        <w:t xml:space="preserve"> 合同份数</w:t>
      </w:r>
      <w:bookmarkEnd w:id="211"/>
      <w:bookmarkEnd w:id="212"/>
      <w:bookmarkEnd w:id="213"/>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合同份数按</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规定，每份均具有同等法律效力。</w:t>
      </w:r>
    </w:p>
    <w:p>
      <w:pPr>
        <w:spacing w:line="360" w:lineRule="auto"/>
        <w:jc w:val="center"/>
        <w:outlineLvl w:val="2"/>
        <w:rPr>
          <w:rFonts w:hint="eastAsia" w:ascii="宋体" w:hAnsi="宋体" w:eastAsia="宋体" w:cs="宋体"/>
          <w:b/>
          <w:sz w:val="20"/>
          <w:szCs w:val="20"/>
          <w:highlight w:val="none"/>
        </w:rPr>
      </w:pPr>
      <w:bookmarkStart w:id="214" w:name="_Toc331685784"/>
      <w:r>
        <w:rPr>
          <w:rFonts w:hint="eastAsia" w:ascii="宋体" w:hAnsi="宋体" w:eastAsia="宋体" w:cs="宋体"/>
          <w:b/>
          <w:sz w:val="20"/>
          <w:szCs w:val="20"/>
          <w:highlight w:val="none"/>
        </w:rPr>
        <w:t>第三部分 合同专用条款</w:t>
      </w:r>
      <w:bookmarkEnd w:id="214"/>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noWrap w:val="0"/>
            <w:vAlign w:val="center"/>
          </w:tcPr>
          <w:p>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条款号</w:t>
            </w:r>
          </w:p>
        </w:tc>
        <w:tc>
          <w:tcPr>
            <w:tcW w:w="7569" w:type="dxa"/>
            <w:noWrap w:val="0"/>
            <w:vAlign w:val="center"/>
          </w:tcPr>
          <w:p>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r>
    </w:tbl>
    <w:p>
      <w:pPr>
        <w:pStyle w:val="2"/>
        <w:rPr>
          <w:rFonts w:hint="eastAsia" w:ascii="宋体" w:hAnsi="宋体" w:eastAsia="宋体" w:cs="宋体"/>
          <w:color w:val="auto"/>
          <w:sz w:val="20"/>
          <w:szCs w:val="20"/>
        </w:rPr>
      </w:pPr>
    </w:p>
    <w:p>
      <w:pPr>
        <w:rPr>
          <w:rFonts w:hint="eastAsia" w:ascii="宋体" w:hAnsi="宋体" w:eastAsia="宋体" w:cs="宋体"/>
          <w:color w:val="auto"/>
          <w:sz w:val="20"/>
          <w:szCs w:val="20"/>
        </w:rPr>
      </w:pPr>
    </w:p>
    <w:p>
      <w:pPr>
        <w:rPr>
          <w:rFonts w:hint="eastAsia" w:ascii="宋体" w:hAnsi="宋体" w:eastAsia="宋体" w:cs="宋体"/>
          <w:color w:val="auto"/>
          <w:sz w:val="20"/>
          <w:szCs w:val="22"/>
        </w:rPr>
      </w:pPr>
    </w:p>
    <w:p>
      <w:pPr>
        <w:wordWrap w:val="0"/>
        <w:overflowPunct w:val="0"/>
        <w:spacing w:before="166" w:beforeLines="50" w:after="166" w:afterLines="50"/>
        <w:jc w:val="center"/>
        <w:outlineLvl w:val="0"/>
        <w:rPr>
          <w:rFonts w:hint="eastAsia" w:ascii="宋体" w:hAnsi="宋体" w:eastAsia="宋体" w:cs="宋体"/>
          <w:b/>
          <w:color w:val="auto"/>
          <w:sz w:val="28"/>
          <w:szCs w:val="28"/>
        </w:rPr>
      </w:pPr>
      <w:bookmarkStart w:id="215" w:name="_Toc4770"/>
      <w:bookmarkStart w:id="216" w:name="_Toc58430332"/>
      <w:bookmarkStart w:id="217" w:name="_Toc9476"/>
      <w:bookmarkStart w:id="218" w:name="_Toc449028948"/>
      <w:r>
        <w:rPr>
          <w:rFonts w:hint="eastAsia" w:ascii="宋体" w:hAnsi="宋体" w:eastAsia="宋体" w:cs="宋体"/>
          <w:b/>
          <w:color w:val="auto"/>
          <w:sz w:val="28"/>
          <w:szCs w:val="28"/>
        </w:rPr>
        <w:t>第六章  投标文件格式</w:t>
      </w:r>
      <w:bookmarkEnd w:id="215"/>
      <w:bookmarkEnd w:id="216"/>
      <w:bookmarkEnd w:id="217"/>
    </w:p>
    <w:p>
      <w:pPr>
        <w:wordWrap w:val="0"/>
        <w:overflowPunct w:val="0"/>
        <w:rPr>
          <w:rFonts w:hint="eastAsia" w:ascii="宋体" w:hAnsi="宋体" w:eastAsia="宋体" w:cs="宋体"/>
          <w:b/>
          <w:color w:val="auto"/>
          <w:sz w:val="24"/>
          <w:szCs w:val="24"/>
          <w:bdr w:val="single" w:color="000000" w:sz="4" w:space="0"/>
        </w:rPr>
      </w:pPr>
      <w:r>
        <w:rPr>
          <w:rFonts w:hint="eastAsia" w:ascii="宋体" w:hAnsi="宋体" w:eastAsia="宋体" w:cs="宋体"/>
          <w:b/>
          <w:color w:val="auto"/>
          <w:sz w:val="24"/>
          <w:szCs w:val="24"/>
        </w:rPr>
        <w:t>一、资信证明格式文件</w:t>
      </w:r>
      <w:r>
        <w:rPr>
          <w:rFonts w:hint="eastAsia" w:ascii="宋体" w:hAnsi="宋体" w:eastAsia="宋体" w:cs="宋体"/>
          <w:b/>
          <w:color w:val="auto"/>
          <w:sz w:val="24"/>
          <w:szCs w:val="24"/>
          <w:lang w:val="en-US" w:eastAsia="zh-CN"/>
        </w:rPr>
        <w:t xml:space="preserve">                         </w:t>
      </w:r>
      <w:r>
        <w:rPr>
          <w:rFonts w:hint="eastAsia" w:ascii="宋体" w:hAnsi="宋体" w:eastAsia="宋体" w:cs="宋体"/>
          <w:sz w:val="24"/>
          <w:szCs w:val="24"/>
          <w:bdr w:val="single" w:color="auto" w:sz="4" w:space="0"/>
        </w:rPr>
        <w:t>注明正本或副本</w:t>
      </w:r>
    </w:p>
    <w:p>
      <w:pPr>
        <w:wordWrap w:val="0"/>
        <w:overflowPunct w:val="0"/>
        <w:jc w:val="center"/>
        <w:rPr>
          <w:rFonts w:hint="eastAsia" w:ascii="宋体" w:hAnsi="宋体" w:eastAsia="宋体" w:cs="宋体"/>
          <w:color w:val="auto"/>
          <w:sz w:val="18"/>
          <w:szCs w:val="22"/>
        </w:rPr>
      </w:pPr>
    </w:p>
    <w:p>
      <w:pPr>
        <w:wordWrap w:val="0"/>
        <w:overflowPunct w:val="0"/>
        <w:rPr>
          <w:rFonts w:hint="eastAsia" w:ascii="宋体" w:hAnsi="宋体" w:eastAsia="宋体" w:cs="宋体"/>
          <w:color w:val="auto"/>
          <w:sz w:val="18"/>
          <w:szCs w:val="22"/>
        </w:rPr>
      </w:pPr>
    </w:p>
    <w:p>
      <w:pPr>
        <w:wordWrap w:val="0"/>
        <w:overflowPunct w:val="0"/>
        <w:jc w:val="center"/>
        <w:rPr>
          <w:rFonts w:hint="eastAsia" w:ascii="宋体" w:hAnsi="宋体" w:eastAsia="宋体" w:cs="宋体"/>
          <w:b/>
          <w:color w:val="auto"/>
          <w:sz w:val="40"/>
          <w:szCs w:val="40"/>
        </w:rPr>
      </w:pPr>
      <w:bookmarkStart w:id="219" w:name="_Toc449028949"/>
      <w:bookmarkStart w:id="220" w:name="_Toc350698753"/>
      <w:r>
        <w:rPr>
          <w:rFonts w:hint="eastAsia" w:ascii="宋体" w:hAnsi="宋体" w:eastAsia="宋体" w:cs="宋体"/>
          <w:b/>
          <w:color w:val="auto"/>
          <w:sz w:val="40"/>
          <w:szCs w:val="40"/>
        </w:rPr>
        <w:t>资信证明文件</w:t>
      </w:r>
      <w:bookmarkEnd w:id="219"/>
      <w:bookmarkEnd w:id="220"/>
    </w:p>
    <w:p>
      <w:pPr>
        <w:wordWrap w:val="0"/>
        <w:overflowPunct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（投标文件一）</w:t>
      </w:r>
    </w:p>
    <w:p>
      <w:pPr>
        <w:wordWrap w:val="0"/>
        <w:overflowPunct w:val="0"/>
        <w:jc w:val="center"/>
        <w:rPr>
          <w:rFonts w:hint="eastAsia" w:ascii="宋体" w:hAnsi="宋体" w:eastAsia="宋体" w:cs="宋体"/>
          <w:color w:val="auto"/>
          <w:sz w:val="40"/>
          <w:szCs w:val="40"/>
        </w:rPr>
      </w:pPr>
    </w:p>
    <w:p>
      <w:pPr>
        <w:wordWrap w:val="0"/>
        <w:overflowPunct w:val="0"/>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w:t>
      </w: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jc w:val="center"/>
        <w:rPr>
          <w:rFonts w:hint="eastAsia" w:ascii="宋体" w:hAnsi="宋体" w:eastAsia="宋体" w:cs="宋体"/>
          <w:sz w:val="24"/>
          <w:szCs w:val="24"/>
          <w:u w:val="single"/>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ind w:firstLine="720" w:firstLineChars="30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ordWrap w:val="0"/>
        <w:overflowPunct w:val="0"/>
        <w:spacing w:line="720" w:lineRule="auto"/>
        <w:jc w:val="center"/>
        <w:rPr>
          <w:rFonts w:hint="eastAsia" w:ascii="宋体" w:hAnsi="宋体" w:eastAsia="宋体" w:cs="宋体"/>
          <w:b/>
          <w:color w:val="auto"/>
          <w:sz w:val="32"/>
          <w:szCs w:val="32"/>
        </w:rPr>
      </w:pPr>
    </w:p>
    <w:p>
      <w:pPr>
        <w:wordWrap w:val="0"/>
        <w:overflowPunct w:val="0"/>
        <w:spacing w:line="400" w:lineRule="exact"/>
        <w:ind w:firstLine="3755" w:firstLineChars="935"/>
        <w:rPr>
          <w:rFonts w:hint="eastAsia" w:ascii="宋体" w:hAnsi="宋体" w:eastAsia="宋体" w:cs="宋体"/>
          <w:b/>
          <w:color w:val="auto"/>
          <w:sz w:val="40"/>
          <w:szCs w:val="40"/>
        </w:rPr>
      </w:pPr>
    </w:p>
    <w:p>
      <w:pPr>
        <w:wordWrap w:val="0"/>
        <w:overflowPunct w:val="0"/>
        <w:spacing w:line="400" w:lineRule="exact"/>
        <w:ind w:firstLine="3755" w:firstLineChars="935"/>
        <w:rPr>
          <w:rFonts w:hint="eastAsia" w:ascii="宋体" w:hAnsi="宋体" w:eastAsia="宋体" w:cs="宋体"/>
          <w:b/>
          <w:color w:val="auto"/>
          <w:sz w:val="40"/>
          <w:szCs w:val="40"/>
        </w:rPr>
      </w:pPr>
    </w:p>
    <w:p>
      <w:pPr>
        <w:wordWrap w:val="0"/>
        <w:overflowPunct w:val="0"/>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40"/>
          <w:szCs w:val="40"/>
        </w:rPr>
      </w:pPr>
      <w:r>
        <w:rPr>
          <w:rFonts w:hint="eastAsia" w:ascii="宋体" w:hAnsi="宋体" w:eastAsia="宋体" w:cs="宋体"/>
          <w:b/>
          <w:color w:val="auto"/>
          <w:sz w:val="32"/>
          <w:szCs w:val="32"/>
        </w:rPr>
        <w:t>目   录</w:t>
      </w:r>
    </w:p>
    <w:p>
      <w:pPr>
        <w:spacing w:line="440" w:lineRule="exac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（1）</w:t>
      </w:r>
      <w:r>
        <w:rPr>
          <w:rFonts w:hint="eastAsia" w:ascii="宋体" w:hAnsi="宋体" w:eastAsia="宋体" w:cs="宋体"/>
          <w:kern w:val="0"/>
          <w:sz w:val="20"/>
          <w:szCs w:val="20"/>
          <w:u w:val="none" w:color="000000"/>
        </w:rPr>
        <w:t>法人代表身份证明及其有效身份证原件或复印件（或法人代表授权委托书及其有效身份证原件或复印）（格式见附件 ）</w:t>
      </w:r>
      <w:r>
        <w:rPr>
          <w:rFonts w:hint="eastAsia" w:ascii="宋体" w:hAnsi="宋体" w:eastAsia="宋体" w:cs="宋体"/>
          <w:kern w:val="0"/>
          <w:sz w:val="20"/>
          <w:szCs w:val="20"/>
          <w:u w:val="none" w:color="000000"/>
          <w:lang w:eastAsia="zh-CN"/>
        </w:rPr>
        <w:t>；</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（2）投标人有效的营业执照、税务登记证和组织机构代代码证（或三证合一的有效证件）；</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（3）诚信投标承诺书（格式见附件）；</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）投标人对交易文件的其他相关技术要求的书面承诺（格式见附件）；</w:t>
      </w:r>
    </w:p>
    <w:p>
      <w:pPr>
        <w:spacing w:line="440" w:lineRule="exact"/>
        <w:rPr>
          <w:rFonts w:hint="eastAsia" w:ascii="宋体" w:hAnsi="宋体" w:eastAsia="宋体" w:cs="宋体"/>
          <w:color w:val="auto"/>
          <w:sz w:val="20"/>
          <w:szCs w:val="22"/>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中</w:t>
      </w:r>
      <w:r>
        <w:rPr>
          <w:rFonts w:hint="eastAsia" w:ascii="宋体" w:hAnsi="宋体" w:eastAsia="宋体" w:cs="宋体"/>
          <w:color w:val="auto"/>
          <w:sz w:val="20"/>
          <w:szCs w:val="20"/>
        </w:rPr>
        <w:t>小企业声明函（格式见附件）；</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）投标人认为需要提供的其他证明材料。</w:t>
      </w:r>
    </w:p>
    <w:p>
      <w:pPr>
        <w:pStyle w:val="125"/>
        <w:ind w:firstLine="480"/>
        <w:rPr>
          <w:rFonts w:hint="eastAsia" w:ascii="宋体" w:hAnsi="宋体" w:eastAsia="宋体" w:cs="宋体"/>
          <w:color w:val="auto"/>
          <w:sz w:val="22"/>
          <w:szCs w:val="20"/>
        </w:rPr>
      </w:pPr>
    </w:p>
    <w:p>
      <w:pPr>
        <w:spacing w:line="400" w:lineRule="exact"/>
        <w:ind w:firstLine="482" w:firstLineChars="200"/>
        <w:rPr>
          <w:rFonts w:hint="eastAsia" w:ascii="宋体" w:hAnsi="宋体" w:eastAsia="宋体" w:cs="宋体"/>
          <w:b/>
          <w:color w:val="auto"/>
          <w:sz w:val="24"/>
          <w:szCs w:val="24"/>
        </w:rPr>
      </w:pPr>
    </w:p>
    <w:p>
      <w:pPr>
        <w:spacing w:line="440" w:lineRule="exact"/>
        <w:rPr>
          <w:rFonts w:hint="eastAsia" w:ascii="宋体" w:hAnsi="宋体" w:eastAsia="宋体" w:cs="宋体"/>
          <w:b/>
          <w:color w:val="auto"/>
          <w:sz w:val="24"/>
          <w:szCs w:val="24"/>
        </w:rPr>
      </w:pPr>
    </w:p>
    <w:p>
      <w:pPr>
        <w:spacing w:line="400" w:lineRule="exact"/>
        <w:ind w:firstLine="482" w:firstLineChars="200"/>
        <w:rPr>
          <w:rFonts w:hint="eastAsia" w:ascii="宋体" w:hAnsi="宋体" w:eastAsia="宋体" w:cs="宋体"/>
          <w:b/>
          <w:color w:val="auto"/>
          <w:sz w:val="24"/>
          <w:szCs w:val="24"/>
        </w:rPr>
      </w:pPr>
    </w:p>
    <w:p>
      <w:pPr>
        <w:spacing w:line="400" w:lineRule="exact"/>
        <w:ind w:firstLine="482" w:firstLineChars="200"/>
        <w:rPr>
          <w:rFonts w:hint="eastAsia" w:ascii="宋体" w:hAnsi="宋体" w:eastAsia="宋体" w:cs="宋体"/>
          <w:b/>
          <w:color w:val="auto"/>
          <w:sz w:val="24"/>
          <w:szCs w:val="24"/>
        </w:rPr>
      </w:pPr>
    </w:p>
    <w:p>
      <w:pPr>
        <w:spacing w:line="400" w:lineRule="exact"/>
        <w:rPr>
          <w:rFonts w:hint="eastAsia" w:ascii="宋体" w:hAnsi="宋体" w:eastAsia="宋体" w:cs="宋体"/>
          <w:b/>
          <w:color w:val="auto"/>
          <w:sz w:val="24"/>
          <w:szCs w:val="24"/>
        </w:rPr>
        <w:sectPr>
          <w:pgSz w:w="11906" w:h="16838"/>
          <w:pgMar w:top="1440" w:right="1803" w:bottom="1440" w:left="1803" w:header="851" w:footer="992" w:gutter="0"/>
          <w:cols w:space="0" w:num="1"/>
          <w:docGrid w:type="lines" w:linePitch="332" w:charSpace="0"/>
        </w:sectPr>
      </w:pP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附件1</w:t>
      </w:r>
    </w:p>
    <w:p>
      <w:pPr>
        <w:spacing w:line="360" w:lineRule="auto"/>
        <w:ind w:left="72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法定代表人身份证明或授权委托书</w:t>
      </w:r>
    </w:p>
    <w:p>
      <w:pPr>
        <w:pStyle w:val="103"/>
        <w:spacing w:beforeLines="100" w:afterLines="100" w:line="480" w:lineRule="exact"/>
        <w:ind w:firstLine="165" w:firstLineChars="75"/>
        <w:rPr>
          <w:rFonts w:hint="eastAsia" w:ascii="宋体" w:hAnsi="宋体" w:eastAsia="宋体" w:cs="宋体"/>
          <w:b/>
          <w:sz w:val="22"/>
          <w:szCs w:val="22"/>
        </w:rPr>
      </w:pPr>
      <w:r>
        <w:rPr>
          <w:rFonts w:hint="eastAsia" w:ascii="宋体" w:hAnsi="宋体" w:eastAsia="宋体" w:cs="宋体"/>
          <w:sz w:val="22"/>
          <w:szCs w:val="22"/>
        </w:rPr>
        <w:t>1.法定代表人身份证明</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投标人名称：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单位性质：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地    址：</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成立时间：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经营期限：</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1400" w:firstLineChars="200"/>
        <w:rPr>
          <w:rFonts w:hint="eastAsia" w:ascii="宋体" w:hAnsi="宋体" w:eastAsia="宋体" w:cs="宋体"/>
          <w:color w:val="000000"/>
          <w:sz w:val="22"/>
          <w:szCs w:val="22"/>
        </w:rPr>
      </w:pPr>
      <w:r>
        <w:rPr>
          <w:rFonts w:hint="eastAsia" w:ascii="宋体" w:hAnsi="宋体" w:eastAsia="宋体" w:cs="宋体"/>
          <w:color w:val="000000"/>
          <w:spacing w:val="240"/>
          <w:sz w:val="22"/>
          <w:szCs w:val="22"/>
        </w:rPr>
        <w:t>姓</w:t>
      </w:r>
      <w:r>
        <w:rPr>
          <w:rFonts w:hint="eastAsia" w:ascii="宋体" w:hAnsi="宋体" w:eastAsia="宋体" w:cs="宋体"/>
          <w:color w:val="000000"/>
          <w:sz w:val="22"/>
          <w:szCs w:val="22"/>
        </w:rPr>
        <w:t>名：</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性别：</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年龄：</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职务：</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_</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系</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（投标人名称）的法定代表人。</w:t>
      </w:r>
    </w:p>
    <w:p>
      <w:pPr>
        <w:spacing w:line="480" w:lineRule="exact"/>
        <w:ind w:firstLine="880" w:firstLineChars="400"/>
        <w:rPr>
          <w:rFonts w:hint="eastAsia" w:ascii="宋体" w:hAnsi="宋体" w:eastAsia="宋体" w:cs="宋体"/>
          <w:color w:val="000000"/>
          <w:sz w:val="22"/>
          <w:szCs w:val="22"/>
        </w:rPr>
      </w:pPr>
      <w:r>
        <w:rPr>
          <w:rFonts w:hint="eastAsia" w:ascii="宋体" w:hAnsi="宋体" w:eastAsia="宋体" w:cs="宋体"/>
          <w:color w:val="000000"/>
          <w:sz w:val="22"/>
          <w:szCs w:val="22"/>
        </w:rPr>
        <w:t>特此证明。</w:t>
      </w:r>
    </w:p>
    <w:p>
      <w:pPr>
        <w:spacing w:line="360" w:lineRule="auto"/>
        <w:ind w:firstLine="3190" w:firstLineChars="1450"/>
        <w:rPr>
          <w:rFonts w:hint="eastAsia" w:ascii="宋体" w:hAnsi="宋体" w:eastAsia="宋体" w:cs="宋体"/>
          <w:color w:val="000000"/>
          <w:sz w:val="22"/>
          <w:szCs w:val="22"/>
        </w:rPr>
      </w:pPr>
      <w:r>
        <w:rPr>
          <w:rFonts w:hint="eastAsia" w:ascii="宋体" w:hAnsi="宋体" w:eastAsia="宋体" w:cs="宋体"/>
          <w:color w:val="000000"/>
          <w:sz w:val="22"/>
          <w:szCs w:val="22"/>
        </w:rPr>
        <w:t>投标人：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（盖单位章）</w:t>
      </w:r>
    </w:p>
    <w:p>
      <w:pPr>
        <w:wordWrap w:val="0"/>
        <w:spacing w:line="360" w:lineRule="auto"/>
        <w:jc w:val="right"/>
        <w:rPr>
          <w:rFonts w:hint="eastAsia" w:ascii="宋体" w:hAnsi="宋体" w:eastAsia="宋体" w:cs="宋体"/>
          <w:color w:val="000000"/>
          <w:sz w:val="20"/>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年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日  </w:t>
      </w:r>
    </w:p>
    <w:p>
      <w:pPr>
        <w:spacing w:beforeLines="100" w:afterLines="100" w:line="480" w:lineRule="exact"/>
        <w:ind w:firstLine="3132" w:firstLineChars="1305"/>
        <w:rPr>
          <w:rFonts w:hint="eastAsia" w:ascii="宋体" w:hAnsi="宋体" w:eastAsia="宋体" w:cs="宋体"/>
          <w:color w:val="000000"/>
          <w:sz w:val="24"/>
          <w:szCs w:val="24"/>
        </w:rPr>
      </w:pPr>
      <w:r>
        <w:rPr>
          <w:rFonts w:hint="eastAsia" w:ascii="宋体" w:hAnsi="宋体" w:eastAsia="宋体" w:cs="宋体"/>
          <w:color w:val="000000"/>
          <w:sz w:val="24"/>
          <w:szCs w:val="24"/>
        </w:rPr>
        <w:t>2.授权委托书</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本人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（姓名）系</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（投标人）的法定代表人，现委托</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（姓名）为我方代理人。代理人根据授权，以我方名义签署、澄清、说明、补正、递交、撤回、修改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”(项目名称）招标文件，全权处理与该项目投标、评审答疑、签订合同以及与合同执行有关的一切事务，其法律后果由我方承担。</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委托期限：</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代理人无转委托权。</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附：授权委托人有效身份证及法定代表人有效身份证</w:t>
      </w:r>
    </w:p>
    <w:p>
      <w:pPr>
        <w:spacing w:line="4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投标人：             </w:t>
      </w:r>
      <w:r>
        <w:rPr>
          <w:rFonts w:hint="eastAsia" w:ascii="宋体" w:hAnsi="宋体" w:eastAsia="宋体" w:cs="宋体"/>
          <w:color w:val="000000"/>
          <w:sz w:val="24"/>
          <w:szCs w:val="24"/>
        </w:rPr>
        <w:t>（盖单位章）</w:t>
      </w:r>
    </w:p>
    <w:p>
      <w:pPr>
        <w:spacing w:line="480" w:lineRule="exact"/>
        <w:ind w:firstLine="2090" w:firstLineChars="95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法定代表人（身份证号码）：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签字或盖</w:t>
      </w:r>
      <w:r>
        <w:rPr>
          <w:rFonts w:hint="eastAsia" w:ascii="宋体" w:hAnsi="宋体" w:eastAsia="宋体" w:cs="宋体"/>
          <w:color w:val="000000"/>
          <w:sz w:val="24"/>
          <w:szCs w:val="24"/>
        </w:rPr>
        <w:t>章）</w:t>
      </w:r>
    </w:p>
    <w:p>
      <w:pPr>
        <w:spacing w:line="480" w:lineRule="exact"/>
        <w:ind w:firstLine="2585" w:firstLineChars="1175"/>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年    月    日</w:t>
      </w:r>
    </w:p>
    <w:p>
      <w:pPr>
        <w:rPr>
          <w:rFonts w:hint="eastAsia" w:ascii="宋体" w:hAnsi="宋体" w:eastAsia="宋体" w:cs="宋体"/>
          <w:color w:val="auto"/>
          <w:sz w:val="20"/>
          <w:szCs w:val="22"/>
        </w:rPr>
      </w:pPr>
    </w:p>
    <w:p>
      <w:pPr>
        <w:spacing w:line="360" w:lineRule="auto"/>
        <w:ind w:firstLine="723" w:firstLineChars="300"/>
        <w:rPr>
          <w:rFonts w:hint="eastAsia" w:ascii="宋体" w:hAnsi="宋体" w:eastAsia="宋体" w:cs="宋体"/>
          <w:b/>
          <w:color w:val="auto"/>
          <w:sz w:val="24"/>
          <w:szCs w:val="24"/>
        </w:rPr>
      </w:pPr>
    </w:p>
    <w:p>
      <w:pPr>
        <w:spacing w:line="360" w:lineRule="auto"/>
        <w:ind w:firstLine="723" w:firstLineChars="300"/>
        <w:rPr>
          <w:rFonts w:hint="eastAsia" w:ascii="宋体" w:hAnsi="宋体" w:eastAsia="宋体" w:cs="宋体"/>
          <w:b/>
          <w:color w:val="auto"/>
          <w:sz w:val="24"/>
          <w:szCs w:val="24"/>
        </w:rPr>
      </w:pPr>
      <w:r>
        <w:rPr>
          <w:rFonts w:hint="eastAsia" w:ascii="宋体" w:hAnsi="宋体" w:eastAsia="宋体" w:cs="宋体"/>
          <w:b/>
          <w:color w:val="auto"/>
          <w:sz w:val="24"/>
          <w:szCs w:val="24"/>
        </w:rPr>
        <w:t>附件2           诚信投标承诺书</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本人以企业法定代表人的身份郑重承诺：</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一、将遵循公开、公正和诚实信用的原则自愿参加</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rPr>
        <w:t>项目的投标，所提供的一切材料都是真实、有效、合法的；</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三、不出借、转让资质证书，不让他人挂靠投标，不以他人名义投标或者以其他方式弄虚作假，骗取中标；</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四、不与其他投标人相互串通投标报价，不排挤其他投标人的公平竞争、损害</w:t>
      </w:r>
      <w:r>
        <w:rPr>
          <w:rFonts w:hint="eastAsia" w:ascii="宋体" w:hAnsi="宋体" w:eastAsia="宋体" w:cs="宋体"/>
          <w:color w:val="auto"/>
          <w:sz w:val="20"/>
          <w:szCs w:val="20"/>
          <w:lang w:eastAsia="zh-CN"/>
        </w:rPr>
        <w:t>采购人</w:t>
      </w:r>
      <w:r>
        <w:rPr>
          <w:rFonts w:hint="eastAsia" w:ascii="宋体" w:hAnsi="宋体" w:eastAsia="宋体" w:cs="宋体"/>
          <w:color w:val="auto"/>
          <w:sz w:val="20"/>
          <w:szCs w:val="20"/>
        </w:rPr>
        <w:t>的合法权益；</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五、不与</w:t>
      </w:r>
      <w:r>
        <w:rPr>
          <w:rFonts w:hint="eastAsia" w:ascii="宋体" w:hAnsi="宋体" w:eastAsia="宋体" w:cs="宋体"/>
          <w:color w:val="auto"/>
          <w:sz w:val="20"/>
          <w:szCs w:val="20"/>
          <w:lang w:eastAsia="zh-CN"/>
        </w:rPr>
        <w:t>采购人</w:t>
      </w:r>
      <w:r>
        <w:rPr>
          <w:rFonts w:hint="eastAsia" w:ascii="宋体" w:hAnsi="宋体" w:eastAsia="宋体" w:cs="宋体"/>
          <w:color w:val="auto"/>
          <w:sz w:val="20"/>
          <w:szCs w:val="20"/>
        </w:rPr>
        <w:t>、招标代理机构或其他投标人串通投标，损害国家利益、社会公共利益或者他人的合法权益；</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六、我公司没有下列情形：</w:t>
      </w:r>
      <w:r>
        <w:rPr>
          <w:rFonts w:hint="eastAsia" w:ascii="宋体" w:hAnsi="宋体" w:eastAsia="宋体" w:cs="宋体"/>
          <w:color w:val="auto"/>
          <w:sz w:val="20"/>
          <w:szCs w:val="20"/>
          <w:highlight w:val="none"/>
        </w:rPr>
        <w:t>1、被人民法院列入失信被执行人的；2、</w:t>
      </w:r>
      <w:r>
        <w:rPr>
          <w:rFonts w:hint="eastAsia" w:ascii="宋体" w:hAnsi="宋体" w:eastAsia="宋体" w:cs="宋体"/>
          <w:color w:val="000000"/>
          <w:sz w:val="20"/>
          <w:szCs w:val="20"/>
        </w:rPr>
        <w:t>我公司及其法定代表人、拟派项目经理（项目负责人）前三年有行贿犯罪行为的</w:t>
      </w:r>
      <w:r>
        <w:rPr>
          <w:rFonts w:hint="eastAsia" w:ascii="宋体" w:hAnsi="宋体" w:eastAsia="宋体" w:cs="宋体"/>
          <w:color w:val="auto"/>
          <w:sz w:val="20"/>
          <w:szCs w:val="20"/>
          <w:highlight w:val="none"/>
        </w:rPr>
        <w:t>；3、被市场监督管理部门列入经营异常名录或者严重违法企业名单</w:t>
      </w:r>
      <w:r>
        <w:rPr>
          <w:rFonts w:hint="eastAsia" w:ascii="宋体" w:hAnsi="宋体" w:eastAsia="宋体" w:cs="宋体"/>
          <w:color w:val="auto"/>
          <w:sz w:val="20"/>
          <w:szCs w:val="20"/>
          <w:highlight w:val="none"/>
          <w:lang w:eastAsia="zh-CN"/>
        </w:rPr>
        <w:t>，且</w:t>
      </w:r>
      <w:r>
        <w:rPr>
          <w:rFonts w:hint="eastAsia" w:ascii="宋体" w:hAnsi="宋体" w:eastAsia="宋体" w:cs="宋体"/>
          <w:color w:val="auto"/>
          <w:sz w:val="20"/>
          <w:szCs w:val="20"/>
          <w:highlight w:val="none"/>
          <w:vertAlign w:val="baseline"/>
          <w:lang w:val="en-US" w:eastAsia="zh-CN"/>
        </w:rPr>
        <w:t>未被移除</w:t>
      </w:r>
      <w:r>
        <w:rPr>
          <w:rFonts w:hint="eastAsia" w:ascii="宋体" w:hAnsi="宋体" w:eastAsia="宋体" w:cs="宋体"/>
          <w:color w:val="auto"/>
          <w:sz w:val="20"/>
          <w:szCs w:val="20"/>
          <w:highlight w:val="none"/>
        </w:rPr>
        <w:t>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r>
        <w:rPr>
          <w:rFonts w:hint="eastAsia" w:ascii="宋体" w:hAnsi="宋体" w:eastAsia="宋体" w:cs="宋体"/>
          <w:color w:val="auto"/>
          <w:sz w:val="20"/>
          <w:szCs w:val="20"/>
          <w:highlight w:val="none"/>
          <w:vertAlign w:val="baseline"/>
          <w:lang w:val="en-US" w:eastAsia="zh-CN"/>
        </w:rPr>
        <w:t>（若招标文件对投标人所属分公司、办事处等分支机构有上述1-6项信誉要求，在此一并承诺我公司所属分公司、办事处等分支机构没有上述1-6项情形）</w:t>
      </w:r>
    </w:p>
    <w:p>
      <w:pPr>
        <w:spacing w:line="500" w:lineRule="exact"/>
        <w:ind w:firstLine="400" w:firstLineChars="200"/>
        <w:rPr>
          <w:rFonts w:hint="eastAsia" w:ascii="宋体" w:hAnsi="宋体" w:eastAsia="宋体" w:cs="宋体"/>
          <w:color w:val="auto"/>
          <w:sz w:val="20"/>
          <w:szCs w:val="22"/>
          <w:highlight w:val="none"/>
          <w:lang w:eastAsia="zh-CN"/>
        </w:rPr>
      </w:pPr>
      <w:r>
        <w:rPr>
          <w:rFonts w:hint="eastAsia" w:ascii="宋体" w:hAnsi="宋体" w:eastAsia="宋体" w:cs="宋体"/>
          <w:color w:val="auto"/>
          <w:sz w:val="20"/>
          <w:szCs w:val="20"/>
          <w:highlight w:val="none"/>
          <w:lang w:eastAsia="zh-CN"/>
        </w:rPr>
        <w:t>七、</w:t>
      </w:r>
      <w:r>
        <w:rPr>
          <w:rFonts w:hint="eastAsia" w:ascii="宋体" w:hAnsi="宋体" w:eastAsia="宋体" w:cs="宋体"/>
          <w:color w:val="auto"/>
          <w:sz w:val="20"/>
          <w:szCs w:val="20"/>
          <w:highlight w:val="none"/>
        </w:rPr>
        <w:t>我公司没有下列情形：被滁州市县两级公管部门记入不良行为记录且在披露期内</w:t>
      </w:r>
      <w:r>
        <w:rPr>
          <w:rFonts w:hint="eastAsia" w:ascii="宋体" w:hAnsi="宋体" w:eastAsia="宋体" w:cs="宋体"/>
          <w:color w:val="auto"/>
          <w:sz w:val="20"/>
          <w:szCs w:val="20"/>
          <w:highlight w:val="none"/>
          <w:lang w:eastAsia="zh-CN"/>
        </w:rPr>
        <w:t>。</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八</w:t>
      </w:r>
      <w:r>
        <w:rPr>
          <w:rFonts w:hint="eastAsia" w:ascii="宋体" w:hAnsi="宋体" w:eastAsia="宋体" w:cs="宋体"/>
          <w:color w:val="auto"/>
          <w:sz w:val="20"/>
          <w:szCs w:val="20"/>
          <w:highlight w:val="none"/>
        </w:rPr>
        <w:t>、严格遵守开标现场纪律，服从监管人员管理；</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九</w:t>
      </w:r>
      <w:r>
        <w:rPr>
          <w:rFonts w:hint="eastAsia" w:ascii="宋体" w:hAnsi="宋体" w:eastAsia="宋体" w:cs="宋体"/>
          <w:color w:val="auto"/>
          <w:sz w:val="20"/>
          <w:szCs w:val="20"/>
          <w:highlight w:val="none"/>
        </w:rPr>
        <w:t>、保证中标后不转包，若有分包征得招标人同意；</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十</w:t>
      </w:r>
      <w:r>
        <w:rPr>
          <w:rFonts w:hint="eastAsia" w:ascii="宋体" w:hAnsi="宋体" w:eastAsia="宋体" w:cs="宋体"/>
          <w:color w:val="auto"/>
          <w:sz w:val="20"/>
          <w:szCs w:val="20"/>
          <w:highlight w:val="none"/>
        </w:rPr>
        <w:t>、保证中标之后，按照投标文件要求提供相关后续服务；</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十</w:t>
      </w:r>
      <w:r>
        <w:rPr>
          <w:rFonts w:hint="eastAsia" w:ascii="宋体" w:hAnsi="宋体" w:eastAsia="宋体" w:cs="宋体"/>
          <w:color w:val="auto"/>
          <w:sz w:val="20"/>
          <w:szCs w:val="20"/>
          <w:highlight w:val="none"/>
          <w:lang w:eastAsia="zh-CN"/>
        </w:rPr>
        <w:t>一</w:t>
      </w:r>
      <w:r>
        <w:rPr>
          <w:rFonts w:hint="eastAsia" w:ascii="宋体" w:hAnsi="宋体" w:eastAsia="宋体" w:cs="宋体"/>
          <w:color w:val="auto"/>
          <w:sz w:val="20"/>
          <w:szCs w:val="20"/>
          <w:highlight w:val="none"/>
        </w:rPr>
        <w:t>、保证企业及所属相关人员在本次投标中无行贿等犯罪行为；</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十</w:t>
      </w:r>
      <w:r>
        <w:rPr>
          <w:rFonts w:hint="eastAsia" w:ascii="宋体" w:hAnsi="宋体" w:eastAsia="宋体" w:cs="宋体"/>
          <w:color w:val="auto"/>
          <w:sz w:val="20"/>
          <w:szCs w:val="20"/>
          <w:highlight w:val="none"/>
          <w:lang w:eastAsia="zh-CN"/>
        </w:rPr>
        <w:t>二</w:t>
      </w:r>
      <w:r>
        <w:rPr>
          <w:rFonts w:hint="eastAsia" w:ascii="宋体" w:hAnsi="宋体" w:eastAsia="宋体" w:cs="宋体"/>
          <w:color w:val="auto"/>
          <w:sz w:val="20"/>
          <w:szCs w:val="20"/>
          <w:highlight w:val="none"/>
        </w:rPr>
        <w:t>、如在投标过程和公示期间发生投诉行为，保证按照相关规定要求进行。投诉内容符合要求，投诉材料加盖企业公章或由法定代表人授权委托人签字，并附有关身份证明</w:t>
      </w:r>
      <w:r>
        <w:rPr>
          <w:rFonts w:hint="eastAsia" w:ascii="宋体" w:hAnsi="宋体" w:eastAsia="宋体" w:cs="宋体"/>
          <w:color w:val="auto"/>
          <w:sz w:val="20"/>
          <w:szCs w:val="20"/>
          <w:highlight w:val="none"/>
          <w:lang w:eastAsia="zh-CN"/>
        </w:rPr>
        <w:t>扫描件</w:t>
      </w:r>
      <w:r>
        <w:rPr>
          <w:rFonts w:hint="eastAsia" w:ascii="宋体" w:hAnsi="宋体" w:eastAsia="宋体" w:cs="宋体"/>
          <w:color w:val="auto"/>
          <w:sz w:val="20"/>
          <w:szCs w:val="20"/>
          <w:highlight w:val="none"/>
        </w:rPr>
        <w:t>。不恶意投诉，对本公司提供的投诉线索的真实性负责，否则愿接受有关部门的处罚。</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以上内容我已仔细阅读，本公司若有违反承诺内容的行为，自愿接受取消投标或者中标资格、记入不良行为记录等有关处理，愿意承担法律责任，给招标人造成损失的，依法承担赔偿责任。</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 </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开户银行：                          基本账户：</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投标单位（</w:t>
      </w:r>
      <w:r>
        <w:rPr>
          <w:rFonts w:hint="eastAsia" w:ascii="宋体" w:hAnsi="宋体" w:eastAsia="宋体" w:cs="宋体"/>
          <w:color w:val="auto"/>
          <w:sz w:val="20"/>
          <w:szCs w:val="20"/>
          <w:lang w:eastAsia="zh-CN"/>
        </w:rPr>
        <w:t>盖</w:t>
      </w:r>
      <w:r>
        <w:rPr>
          <w:rFonts w:hint="eastAsia" w:ascii="宋体" w:hAnsi="宋体" w:eastAsia="宋体" w:cs="宋体"/>
          <w:color w:val="auto"/>
          <w:sz w:val="20"/>
          <w:szCs w:val="20"/>
        </w:rPr>
        <w:t>章）：          法定代表人（签</w:t>
      </w:r>
      <w:r>
        <w:rPr>
          <w:rFonts w:hint="eastAsia" w:ascii="宋体" w:hAnsi="宋体" w:eastAsia="宋体" w:cs="宋体"/>
          <w:color w:val="auto"/>
          <w:sz w:val="20"/>
          <w:szCs w:val="20"/>
          <w:lang w:eastAsia="zh-CN"/>
        </w:rPr>
        <w:t>字或盖</w:t>
      </w:r>
      <w:r>
        <w:rPr>
          <w:rFonts w:hint="eastAsia" w:ascii="宋体" w:hAnsi="宋体" w:eastAsia="宋体" w:cs="宋体"/>
          <w:color w:val="auto"/>
          <w:sz w:val="20"/>
          <w:szCs w:val="20"/>
        </w:rPr>
        <w:t>章）：</w:t>
      </w:r>
    </w:p>
    <w:p>
      <w:pPr>
        <w:wordWrap w:val="0"/>
        <w:overflowPunct w:val="0"/>
        <w:spacing w:line="500" w:lineRule="exact"/>
        <w:ind w:firstLine="400" w:firstLineChars="200"/>
        <w:rPr>
          <w:rFonts w:hint="eastAsia" w:ascii="宋体" w:hAnsi="宋体" w:eastAsia="宋体" w:cs="宋体"/>
          <w:color w:val="auto"/>
          <w:sz w:val="20"/>
          <w:szCs w:val="20"/>
        </w:rPr>
      </w:pPr>
    </w:p>
    <w:p>
      <w:pPr>
        <w:wordWrap w:val="0"/>
        <w:overflowPunct w:val="0"/>
        <w:spacing w:line="560" w:lineRule="exact"/>
        <w:jc w:val="right"/>
        <w:rPr>
          <w:rFonts w:hint="eastAsia" w:ascii="宋体" w:hAnsi="宋体" w:eastAsia="宋体" w:cs="宋体"/>
          <w:color w:val="auto"/>
          <w:sz w:val="28"/>
          <w:szCs w:val="28"/>
        </w:rPr>
      </w:pPr>
      <w:r>
        <w:rPr>
          <w:rFonts w:hint="eastAsia" w:ascii="宋体" w:hAnsi="宋体" w:eastAsia="宋体" w:cs="宋体"/>
          <w:color w:val="auto"/>
          <w:sz w:val="20"/>
          <w:szCs w:val="20"/>
        </w:rPr>
        <w:t>日期：</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rPr>
        <w:t xml:space="preserve">年 </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rPr>
        <w:t xml:space="preserve">月 </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rPr>
        <w:t>日</w:t>
      </w:r>
    </w:p>
    <w:p>
      <w:pPr>
        <w:wordWrap w:val="0"/>
        <w:overflowPunct w:val="0"/>
        <w:spacing w:line="360" w:lineRule="auto"/>
        <w:jc w:val="center"/>
        <w:rPr>
          <w:rFonts w:hint="eastAsia" w:ascii="宋体" w:hAnsi="宋体" w:eastAsia="宋体" w:cs="宋体"/>
          <w:b/>
          <w:color w:val="auto"/>
          <w:sz w:val="24"/>
          <w:szCs w:val="24"/>
        </w:rPr>
      </w:pPr>
    </w:p>
    <w:p>
      <w:pPr>
        <w:rPr>
          <w:rFonts w:hint="eastAsia" w:ascii="宋体" w:hAnsi="宋体" w:eastAsia="宋体" w:cs="宋体"/>
          <w:b/>
          <w:color w:val="auto"/>
          <w:sz w:val="28"/>
          <w:szCs w:val="28"/>
        </w:rPr>
      </w:pPr>
    </w:p>
    <w:p>
      <w:pPr>
        <w:pStyle w:val="2"/>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2"/>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2"/>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2"/>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14"/>
        <w:rPr>
          <w:rFonts w:hint="eastAsia" w:ascii="宋体" w:hAnsi="宋体" w:eastAsia="宋体" w:cs="宋体"/>
          <w:b/>
          <w:color w:val="auto"/>
          <w:sz w:val="28"/>
          <w:szCs w:val="28"/>
        </w:rPr>
      </w:pPr>
    </w:p>
    <w:p>
      <w:pPr>
        <w:rPr>
          <w:rFonts w:hint="eastAsia" w:ascii="宋体" w:hAnsi="宋体" w:eastAsia="宋体" w:cs="宋体"/>
          <w:sz w:val="20"/>
          <w:szCs w:val="22"/>
        </w:rPr>
      </w:pPr>
    </w:p>
    <w:p>
      <w:pPr>
        <w:pStyle w:val="2"/>
        <w:rPr>
          <w:rFonts w:hint="eastAsia" w:ascii="宋体" w:hAnsi="宋体" w:eastAsia="宋体" w:cs="宋体"/>
          <w:color w:val="auto"/>
          <w:sz w:val="20"/>
          <w:szCs w:val="22"/>
        </w:rPr>
      </w:pP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附件</w:t>
      </w: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：服务承诺书</w:t>
      </w:r>
    </w:p>
    <w:p>
      <w:pPr>
        <w:ind w:firstLine="440" w:firstLineChars="200"/>
        <w:rPr>
          <w:rFonts w:hint="eastAsia" w:ascii="宋体" w:hAnsi="宋体" w:eastAsia="宋体" w:cs="宋体"/>
          <w:color w:val="auto"/>
          <w:sz w:val="22"/>
          <w:szCs w:val="22"/>
        </w:rPr>
      </w:pPr>
    </w:p>
    <w:p>
      <w:pPr>
        <w:rPr>
          <w:rFonts w:hint="eastAsia" w:ascii="宋体" w:hAnsi="宋体" w:eastAsia="宋体" w:cs="宋体"/>
          <w:b/>
          <w:color w:val="auto"/>
          <w:sz w:val="22"/>
          <w:szCs w:val="22"/>
        </w:rPr>
      </w:pPr>
      <w:r>
        <w:rPr>
          <w:rFonts w:hint="eastAsia" w:ascii="宋体" w:hAnsi="宋体" w:eastAsia="宋体" w:cs="宋体"/>
          <w:color w:val="auto"/>
          <w:sz w:val="22"/>
          <w:szCs w:val="22"/>
        </w:rPr>
        <w:t>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eastAsia="zh-CN"/>
        </w:rPr>
        <w:t>采购人</w:t>
      </w:r>
      <w:r>
        <w:rPr>
          <w:rFonts w:hint="eastAsia" w:ascii="宋体" w:hAnsi="宋体" w:eastAsia="宋体" w:cs="宋体"/>
          <w:color w:val="auto"/>
          <w:sz w:val="22"/>
          <w:szCs w:val="22"/>
          <w:u w:val="single"/>
        </w:rPr>
        <w:t>）     ：</w:t>
      </w:r>
    </w:p>
    <w:p>
      <w:pPr>
        <w:spacing w:line="8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本承诺声明：</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（投标人名称）对本交易文件的相关要求</w:t>
      </w:r>
      <w:r>
        <w:rPr>
          <w:rFonts w:hint="eastAsia" w:ascii="宋体" w:hAnsi="宋体" w:eastAsia="宋体" w:cs="宋体"/>
          <w:color w:val="auto"/>
          <w:sz w:val="22"/>
          <w:szCs w:val="22"/>
          <w:u w:val="single"/>
        </w:rPr>
        <w:t xml:space="preserve">       （完全响应或优于）</w:t>
      </w:r>
      <w:r>
        <w:rPr>
          <w:rFonts w:hint="eastAsia" w:ascii="宋体" w:hAnsi="宋体" w:eastAsia="宋体" w:cs="宋体"/>
          <w:color w:val="auto"/>
          <w:sz w:val="22"/>
          <w:szCs w:val="22"/>
        </w:rPr>
        <w:t>。若有幸中标将严格按照以上承诺进行服务。</w:t>
      </w:r>
    </w:p>
    <w:p>
      <w:pPr>
        <w:rPr>
          <w:rFonts w:hint="eastAsia" w:ascii="宋体" w:hAnsi="宋体" w:eastAsia="宋体" w:cs="宋体"/>
          <w:color w:val="auto"/>
          <w:sz w:val="20"/>
          <w:szCs w:val="22"/>
        </w:rPr>
      </w:pP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特此声明</w:t>
      </w:r>
    </w:p>
    <w:p>
      <w:pPr>
        <w:spacing w:line="600" w:lineRule="exact"/>
        <w:rPr>
          <w:rFonts w:hint="eastAsia" w:ascii="宋体" w:hAnsi="宋体" w:eastAsia="宋体" w:cs="宋体"/>
          <w:color w:val="auto"/>
          <w:sz w:val="22"/>
          <w:szCs w:val="22"/>
        </w:rPr>
      </w:pPr>
      <w:r>
        <w:rPr>
          <w:rFonts w:hint="eastAsia" w:ascii="宋体" w:hAnsi="宋体" w:eastAsia="宋体" w:cs="宋体"/>
          <w:color w:val="auto"/>
          <w:sz w:val="22"/>
          <w:szCs w:val="22"/>
        </w:rPr>
        <w:t> </w:t>
      </w:r>
    </w:p>
    <w:p>
      <w:pPr>
        <w:spacing w:line="30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          法定代表人或代理人（被授权人）：</w:t>
      </w:r>
      <w:r>
        <w:rPr>
          <w:rFonts w:hint="eastAsia" w:ascii="宋体" w:hAnsi="宋体" w:eastAsia="宋体" w:cs="宋体"/>
          <w:color w:val="auto"/>
          <w:sz w:val="22"/>
          <w:szCs w:val="22"/>
          <w:u w:val="single"/>
        </w:rPr>
        <w:t xml:space="preserve">                （签</w:t>
      </w:r>
      <w:r>
        <w:rPr>
          <w:rFonts w:hint="eastAsia" w:ascii="宋体" w:hAnsi="宋体" w:eastAsia="宋体" w:cs="宋体"/>
          <w:color w:val="auto"/>
          <w:sz w:val="22"/>
          <w:szCs w:val="22"/>
          <w:u w:val="single"/>
          <w:lang w:eastAsia="zh-CN"/>
        </w:rPr>
        <w:t>字或盖</w:t>
      </w:r>
      <w:r>
        <w:rPr>
          <w:rFonts w:hint="eastAsia" w:ascii="宋体" w:hAnsi="宋体" w:eastAsia="宋体" w:cs="宋体"/>
          <w:color w:val="auto"/>
          <w:sz w:val="22"/>
          <w:szCs w:val="22"/>
          <w:u w:val="single"/>
        </w:rPr>
        <w:t xml:space="preserve">章）          </w:t>
      </w:r>
    </w:p>
    <w:p>
      <w:pPr>
        <w:spacing w:line="300" w:lineRule="exact"/>
        <w:rPr>
          <w:rFonts w:hint="eastAsia" w:ascii="宋体" w:hAnsi="宋体" w:eastAsia="宋体" w:cs="宋体"/>
          <w:color w:val="auto"/>
          <w:sz w:val="22"/>
          <w:szCs w:val="22"/>
        </w:rPr>
      </w:pPr>
    </w:p>
    <w:p>
      <w:pPr>
        <w:spacing w:line="300" w:lineRule="exact"/>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w:t>
      </w:r>
    </w:p>
    <w:p>
      <w:pPr>
        <w:spacing w:line="30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                                    投标单位名称：</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eastAsia="zh-CN"/>
        </w:rPr>
        <w:t>盖</w:t>
      </w:r>
      <w:r>
        <w:rPr>
          <w:rFonts w:hint="eastAsia" w:ascii="宋体" w:hAnsi="宋体" w:eastAsia="宋体" w:cs="宋体"/>
          <w:color w:val="auto"/>
          <w:sz w:val="22"/>
          <w:szCs w:val="22"/>
          <w:u w:val="single"/>
        </w:rPr>
        <w:t xml:space="preserve">章）           </w:t>
      </w:r>
    </w:p>
    <w:p>
      <w:pPr>
        <w:spacing w:line="400" w:lineRule="exact"/>
        <w:rPr>
          <w:rFonts w:hint="eastAsia" w:ascii="宋体" w:hAnsi="宋体" w:eastAsia="宋体" w:cs="宋体"/>
          <w:color w:val="auto"/>
          <w:sz w:val="22"/>
          <w:szCs w:val="22"/>
        </w:rPr>
      </w:pPr>
    </w:p>
    <w:p>
      <w:pPr>
        <w:spacing w:line="400" w:lineRule="exact"/>
        <w:ind w:firstLine="4290" w:firstLineChars="1950"/>
        <w:rPr>
          <w:rFonts w:hint="eastAsia" w:ascii="宋体" w:hAnsi="宋体" w:eastAsia="宋体" w:cs="宋体"/>
          <w:color w:val="auto"/>
          <w:sz w:val="18"/>
          <w:szCs w:val="22"/>
        </w:rPr>
      </w:pPr>
      <w:r>
        <w:rPr>
          <w:rFonts w:hint="eastAsia" w:ascii="宋体" w:hAnsi="宋体" w:eastAsia="宋体" w:cs="宋体"/>
          <w:color w:val="auto"/>
          <w:sz w:val="22"/>
          <w:szCs w:val="22"/>
        </w:rPr>
        <w:t>日    期：</w:t>
      </w:r>
      <w:r>
        <w:rPr>
          <w:rFonts w:hint="eastAsia" w:ascii="宋体" w:hAnsi="宋体" w:eastAsia="宋体" w:cs="宋体"/>
          <w:color w:val="auto"/>
          <w:sz w:val="22"/>
          <w:szCs w:val="22"/>
          <w:u w:val="single"/>
        </w:rPr>
        <w:t xml:space="preserve">                            </w:t>
      </w:r>
    </w:p>
    <w:p>
      <w:pPr>
        <w:pStyle w:val="126"/>
        <w:ind w:firstLine="400"/>
        <w:rPr>
          <w:rFonts w:hint="eastAsia" w:ascii="宋体" w:hAnsi="宋体" w:eastAsia="宋体" w:cs="宋体"/>
          <w:color w:val="auto"/>
          <w:sz w:val="18"/>
          <w:szCs w:val="22"/>
        </w:rPr>
      </w:pP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pStyle w:val="30"/>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pStyle w:val="30"/>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pStyle w:val="30"/>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spacing w:line="360" w:lineRule="auto"/>
        <w:jc w:val="center"/>
        <w:rPr>
          <w:rFonts w:hint="eastAsia" w:ascii="宋体" w:hAnsi="宋体" w:eastAsia="宋体" w:cs="宋体"/>
          <w:b/>
          <w:color w:val="auto"/>
          <w:sz w:val="28"/>
          <w:szCs w:val="28"/>
        </w:rPr>
      </w:pPr>
      <w:bookmarkStart w:id="221" w:name="_Toc16286"/>
      <w:bookmarkStart w:id="222" w:name="_Toc29271"/>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8"/>
          <w:szCs w:val="28"/>
        </w:rPr>
        <w:t xml:space="preserve">附件4      </w:t>
      </w:r>
      <w:bookmarkEnd w:id="221"/>
      <w:bookmarkEnd w:id="222"/>
      <w:r>
        <w:rPr>
          <w:rFonts w:hint="eastAsia" w:ascii="宋体" w:hAnsi="宋体" w:eastAsia="宋体" w:cs="宋体"/>
          <w:b/>
          <w:bCs/>
          <w:color w:val="auto"/>
          <w:sz w:val="24"/>
          <w:szCs w:val="24"/>
          <w:highlight w:val="none"/>
        </w:rPr>
        <w:t>中小企业声明函（工程、服务）</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本公司（联合体）郑重声明，根据《政府采购促进中小企业发展管理办法》（财库﹝2020﹞46 号）的规定，本公司（联合体）参加</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eastAsia="zh-CN"/>
        </w:rPr>
        <w:t>招标人</w:t>
      </w:r>
      <w:r>
        <w:rPr>
          <w:rFonts w:hint="eastAsia" w:ascii="宋体" w:hAnsi="宋体" w:eastAsia="宋体" w:cs="宋体"/>
          <w:color w:val="auto"/>
          <w:sz w:val="20"/>
          <w:szCs w:val="20"/>
          <w:highlight w:val="none"/>
          <w:u w:val="single"/>
        </w:rPr>
        <w:t xml:space="preserve">名称） </w:t>
      </w:r>
      <w:r>
        <w:rPr>
          <w:rFonts w:hint="eastAsia" w:ascii="宋体" w:hAnsi="宋体" w:eastAsia="宋体" w:cs="宋体"/>
          <w:color w:val="auto"/>
          <w:sz w:val="20"/>
          <w:szCs w:val="20"/>
          <w:highlight w:val="none"/>
        </w:rPr>
        <w:t>的</w:t>
      </w:r>
      <w:r>
        <w:rPr>
          <w:rFonts w:hint="eastAsia" w:ascii="宋体" w:hAnsi="宋体" w:eastAsia="宋体" w:cs="宋体"/>
          <w:color w:val="auto"/>
          <w:sz w:val="20"/>
          <w:szCs w:val="20"/>
          <w:highlight w:val="none"/>
          <w:u w:val="single"/>
        </w:rPr>
        <w:t>（项目名称）</w:t>
      </w:r>
      <w:r>
        <w:rPr>
          <w:rFonts w:hint="eastAsia" w:ascii="宋体" w:hAnsi="宋体" w:eastAsia="宋体" w:cs="宋体"/>
          <w:color w:val="auto"/>
          <w:sz w:val="20"/>
          <w:szCs w:val="20"/>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u w:val="single"/>
        </w:rPr>
        <w:t xml:space="preserve"> （标的名称） </w:t>
      </w:r>
      <w:r>
        <w:rPr>
          <w:rFonts w:hint="eastAsia" w:ascii="宋体" w:hAnsi="宋体" w:eastAsia="宋体" w:cs="宋体"/>
          <w:color w:val="auto"/>
          <w:sz w:val="20"/>
          <w:szCs w:val="20"/>
          <w:highlight w:val="none"/>
        </w:rPr>
        <w:t>，属于</w:t>
      </w:r>
      <w:r>
        <w:rPr>
          <w:rFonts w:hint="eastAsia" w:ascii="宋体" w:hAnsi="宋体" w:eastAsia="宋体" w:cs="宋体"/>
          <w:color w:val="auto"/>
          <w:sz w:val="20"/>
          <w:szCs w:val="20"/>
          <w:highlight w:val="none"/>
          <w:u w:val="single"/>
        </w:rPr>
        <w:t>（采购文件中明确的所属行业）</w:t>
      </w:r>
      <w:r>
        <w:rPr>
          <w:rFonts w:hint="eastAsia" w:ascii="宋体" w:hAnsi="宋体" w:eastAsia="宋体" w:cs="宋体"/>
          <w:color w:val="auto"/>
          <w:sz w:val="20"/>
          <w:szCs w:val="20"/>
          <w:highlight w:val="none"/>
        </w:rPr>
        <w:t>；承建（承接）企业为</w:t>
      </w:r>
      <w:r>
        <w:rPr>
          <w:rFonts w:hint="eastAsia" w:ascii="宋体" w:hAnsi="宋体" w:eastAsia="宋体" w:cs="宋体"/>
          <w:color w:val="auto"/>
          <w:sz w:val="20"/>
          <w:szCs w:val="20"/>
          <w:highlight w:val="none"/>
          <w:u w:val="single"/>
        </w:rPr>
        <w:t xml:space="preserve"> （企业名称） </w:t>
      </w:r>
      <w:r>
        <w:rPr>
          <w:rFonts w:hint="eastAsia" w:ascii="宋体" w:hAnsi="宋体" w:eastAsia="宋体" w:cs="宋体"/>
          <w:color w:val="auto"/>
          <w:sz w:val="20"/>
          <w:szCs w:val="20"/>
          <w:highlight w:val="none"/>
        </w:rPr>
        <w:t>，从业人员</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人，营业收入为</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万元，资产总额为</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rPr>
        <w:t>万元</w:t>
      </w:r>
      <w:r>
        <w:rPr>
          <w:rFonts w:hint="eastAsia" w:ascii="宋体" w:hAnsi="宋体" w:eastAsia="宋体" w:cs="宋体"/>
          <w:color w:val="auto"/>
          <w:sz w:val="20"/>
          <w:szCs w:val="20"/>
          <w:highlight w:val="none"/>
          <w:vertAlign w:val="superscript"/>
        </w:rPr>
        <w:t xml:space="preserve">1 </w:t>
      </w:r>
      <w:r>
        <w:rPr>
          <w:rFonts w:hint="eastAsia" w:ascii="宋体" w:hAnsi="宋体" w:eastAsia="宋体" w:cs="宋体"/>
          <w:color w:val="auto"/>
          <w:sz w:val="20"/>
          <w:szCs w:val="20"/>
          <w:highlight w:val="none"/>
        </w:rPr>
        <w:t>，属于</w:t>
      </w:r>
      <w:r>
        <w:rPr>
          <w:rFonts w:hint="eastAsia" w:ascii="宋体" w:hAnsi="宋体" w:eastAsia="宋体" w:cs="宋体"/>
          <w:color w:val="auto"/>
          <w:sz w:val="20"/>
          <w:szCs w:val="20"/>
          <w:highlight w:val="none"/>
          <w:u w:val="single"/>
        </w:rPr>
        <w:t>（中型企业、小型企业、微型企业）</w:t>
      </w:r>
      <w:r>
        <w:rPr>
          <w:rFonts w:hint="eastAsia" w:ascii="宋体" w:hAnsi="宋体" w:eastAsia="宋体" w:cs="宋体"/>
          <w:color w:val="auto"/>
          <w:sz w:val="20"/>
          <w:szCs w:val="20"/>
          <w:highlight w:val="none"/>
        </w:rPr>
        <w:t>；</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u w:val="single"/>
        </w:rPr>
        <w:t xml:space="preserve">（标的名称）  </w:t>
      </w:r>
      <w:r>
        <w:rPr>
          <w:rFonts w:hint="eastAsia" w:ascii="宋体" w:hAnsi="宋体" w:eastAsia="宋体" w:cs="宋体"/>
          <w:color w:val="auto"/>
          <w:sz w:val="20"/>
          <w:szCs w:val="20"/>
          <w:highlight w:val="none"/>
        </w:rPr>
        <w:t>，属于</w:t>
      </w:r>
      <w:r>
        <w:rPr>
          <w:rFonts w:hint="eastAsia" w:ascii="宋体" w:hAnsi="宋体" w:eastAsia="宋体" w:cs="宋体"/>
          <w:color w:val="auto"/>
          <w:sz w:val="20"/>
          <w:szCs w:val="20"/>
          <w:highlight w:val="none"/>
          <w:u w:val="single"/>
        </w:rPr>
        <w:t>（采购文件中明确的所属行业</w:t>
      </w:r>
      <w:r>
        <w:rPr>
          <w:rFonts w:hint="eastAsia" w:ascii="宋体" w:hAnsi="宋体" w:eastAsia="宋体" w:cs="宋体"/>
          <w:color w:val="auto"/>
          <w:sz w:val="20"/>
          <w:szCs w:val="20"/>
          <w:highlight w:val="none"/>
        </w:rPr>
        <w:t xml:space="preserve">）；承建（承接）企业为 </w:t>
      </w:r>
      <w:r>
        <w:rPr>
          <w:rFonts w:hint="eastAsia" w:ascii="宋体" w:hAnsi="宋体" w:eastAsia="宋体" w:cs="宋体"/>
          <w:color w:val="auto"/>
          <w:sz w:val="20"/>
          <w:szCs w:val="20"/>
          <w:highlight w:val="none"/>
          <w:u w:val="single"/>
        </w:rPr>
        <w:t xml:space="preserve">（企业名称） </w:t>
      </w:r>
      <w:r>
        <w:rPr>
          <w:rFonts w:hint="eastAsia" w:ascii="宋体" w:hAnsi="宋体" w:eastAsia="宋体" w:cs="宋体"/>
          <w:color w:val="auto"/>
          <w:sz w:val="20"/>
          <w:szCs w:val="20"/>
          <w:highlight w:val="none"/>
        </w:rPr>
        <w:t>，从业人员</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人，营业收入为</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万元，资产总额为</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万元</w:t>
      </w:r>
      <w:r>
        <w:rPr>
          <w:rFonts w:hint="eastAsia" w:ascii="宋体" w:hAnsi="宋体" w:eastAsia="宋体" w:cs="宋体"/>
          <w:color w:val="auto"/>
          <w:sz w:val="20"/>
          <w:szCs w:val="20"/>
          <w:highlight w:val="none"/>
          <w:vertAlign w:val="superscript"/>
        </w:rPr>
        <w:t>1</w:t>
      </w:r>
      <w:r>
        <w:rPr>
          <w:rFonts w:hint="eastAsia" w:ascii="宋体" w:hAnsi="宋体" w:eastAsia="宋体" w:cs="宋体"/>
          <w:color w:val="auto"/>
          <w:sz w:val="20"/>
          <w:szCs w:val="20"/>
          <w:highlight w:val="none"/>
        </w:rPr>
        <w:t>，属于</w:t>
      </w:r>
      <w:r>
        <w:rPr>
          <w:rFonts w:hint="eastAsia" w:ascii="宋体" w:hAnsi="宋体" w:eastAsia="宋体" w:cs="宋体"/>
          <w:color w:val="auto"/>
          <w:sz w:val="20"/>
          <w:szCs w:val="20"/>
          <w:highlight w:val="none"/>
          <w:u w:val="single"/>
        </w:rPr>
        <w:t>（中型企业、小型企业、微型企业）</w:t>
      </w:r>
      <w:r>
        <w:rPr>
          <w:rFonts w:hint="eastAsia" w:ascii="宋体" w:hAnsi="宋体" w:eastAsia="宋体" w:cs="宋体"/>
          <w:color w:val="auto"/>
          <w:sz w:val="20"/>
          <w:szCs w:val="20"/>
          <w:highlight w:val="none"/>
        </w:rPr>
        <w:t>；</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以上企业，不属于大企业的分支机构，不存在控股股东为大企业的情形，也不存在与大企业的负责人为同一人的情形。</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本企业对上述声明内容的真实性负责。如有虚假，将依法承担相应责任。</w:t>
      </w:r>
    </w:p>
    <w:p>
      <w:pPr>
        <w:spacing w:line="360" w:lineRule="auto"/>
        <w:ind w:right="420" w:firstLine="4400" w:firstLineChars="2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企业名称（盖章）：</w:t>
      </w:r>
    </w:p>
    <w:p>
      <w:pPr>
        <w:spacing w:line="360" w:lineRule="auto"/>
        <w:ind w:right="420" w:firstLine="400" w:firstLineChars="20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日 期：</w:t>
      </w:r>
    </w:p>
    <w:p>
      <w:pPr>
        <w:rPr>
          <w:rFonts w:hint="eastAsia" w:ascii="宋体" w:hAnsi="宋体" w:eastAsia="宋体" w:cs="宋体"/>
          <w:color w:val="auto"/>
          <w:sz w:val="16"/>
          <w:szCs w:val="16"/>
        </w:rPr>
      </w:pPr>
      <w:r>
        <w:rPr>
          <w:rFonts w:hint="eastAsia" w:ascii="宋体" w:hAnsi="宋体" w:eastAsia="宋体" w:cs="宋体"/>
          <w:color w:val="auto"/>
          <w:sz w:val="20"/>
          <w:szCs w:val="20"/>
          <w:highlight w:val="none"/>
        </w:rPr>
        <w:t>注1从业人员、营业收入、资产总额填报上一年度数据，无上一年度数据的新成立企业可不填报。</w:t>
      </w:r>
    </w:p>
    <w:p>
      <w:pPr>
        <w:rPr>
          <w:rFonts w:hint="eastAsia" w:ascii="宋体" w:hAnsi="宋体" w:eastAsia="宋体" w:cs="宋体"/>
          <w:b/>
          <w:color w:val="auto"/>
          <w:sz w:val="28"/>
          <w:szCs w:val="28"/>
        </w:rPr>
      </w:pPr>
      <w:bookmarkStart w:id="223" w:name="_Toc266"/>
    </w:p>
    <w:p>
      <w:pPr>
        <w:pStyle w:val="2"/>
        <w:rPr>
          <w:rFonts w:hint="eastAsia" w:ascii="宋体" w:hAnsi="宋体" w:eastAsia="宋体" w:cs="宋体"/>
          <w:b/>
          <w:color w:val="auto"/>
          <w:sz w:val="28"/>
          <w:szCs w:val="28"/>
        </w:rPr>
      </w:pPr>
    </w:p>
    <w:p>
      <w:pPr>
        <w:pStyle w:val="30"/>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2"/>
        <w:rPr>
          <w:rFonts w:hint="eastAsia" w:ascii="宋体" w:hAnsi="宋体" w:eastAsia="宋体" w:cs="宋体"/>
          <w:b/>
          <w:color w:val="auto"/>
          <w:sz w:val="28"/>
          <w:szCs w:val="28"/>
        </w:rPr>
      </w:pPr>
    </w:p>
    <w:p>
      <w:pPr>
        <w:rPr>
          <w:rFonts w:hint="eastAsia"/>
        </w:rPr>
      </w:pPr>
    </w:p>
    <w:p>
      <w:pPr>
        <w:rPr>
          <w:rFonts w:hint="eastAsia" w:ascii="宋体" w:hAnsi="宋体" w:eastAsia="宋体" w:cs="宋体"/>
          <w:color w:val="auto"/>
          <w:sz w:val="20"/>
          <w:szCs w:val="22"/>
        </w:rPr>
      </w:pPr>
    </w:p>
    <w:bookmarkEnd w:id="223"/>
    <w:p>
      <w:pPr>
        <w:wordWrap w:val="0"/>
        <w:overflowPunct w:val="0"/>
        <w:jc w:val="left"/>
        <w:rPr>
          <w:rFonts w:hint="eastAsia" w:ascii="宋体" w:hAnsi="宋体" w:eastAsia="宋体" w:cs="宋体"/>
          <w:color w:val="auto"/>
          <w:sz w:val="22"/>
          <w:szCs w:val="22"/>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、商务标格式文件</w:t>
      </w:r>
    </w:p>
    <w:p>
      <w:pPr>
        <w:wordWrap w:val="0"/>
        <w:overflowPunct w:val="0"/>
        <w:jc w:val="center"/>
        <w:rPr>
          <w:rFonts w:hint="eastAsia" w:ascii="宋体" w:hAnsi="宋体" w:eastAsia="宋体" w:cs="宋体"/>
          <w:color w:val="auto"/>
          <w:sz w:val="18"/>
          <w:szCs w:val="22"/>
        </w:rPr>
      </w:pPr>
    </w:p>
    <w:p>
      <w:pPr>
        <w:wordWrap w:val="0"/>
        <w:overflowPunct w:val="0"/>
        <w:rPr>
          <w:rFonts w:hint="eastAsia" w:ascii="宋体" w:hAnsi="宋体" w:eastAsia="宋体" w:cs="宋体"/>
          <w:color w:val="auto"/>
          <w:sz w:val="18"/>
          <w:szCs w:val="22"/>
        </w:rPr>
      </w:pPr>
    </w:p>
    <w:p>
      <w:pPr>
        <w:wordWrap w:val="0"/>
        <w:overflowPunct w:val="0"/>
        <w:jc w:val="center"/>
        <w:rPr>
          <w:rFonts w:hint="eastAsia" w:ascii="宋体" w:hAnsi="宋体" w:eastAsia="宋体" w:cs="宋体"/>
          <w:b/>
          <w:color w:val="auto"/>
          <w:sz w:val="40"/>
          <w:szCs w:val="40"/>
        </w:rPr>
      </w:pPr>
      <w:bookmarkStart w:id="224" w:name="_Toc449028954"/>
      <w:r>
        <w:rPr>
          <w:rFonts w:hint="eastAsia" w:ascii="宋体" w:hAnsi="宋体" w:eastAsia="宋体" w:cs="宋体"/>
          <w:b/>
          <w:color w:val="auto"/>
          <w:sz w:val="40"/>
          <w:szCs w:val="40"/>
        </w:rPr>
        <w:t>商务标</w:t>
      </w:r>
      <w:bookmarkEnd w:id="224"/>
    </w:p>
    <w:p>
      <w:pPr>
        <w:wordWrap w:val="0"/>
        <w:overflowPunct w:val="0"/>
        <w:jc w:val="center"/>
        <w:outlineLvl w:val="0"/>
        <w:rPr>
          <w:rFonts w:hint="eastAsia" w:ascii="宋体" w:hAnsi="宋体" w:eastAsia="宋体" w:cs="宋体"/>
          <w:color w:val="auto"/>
          <w:sz w:val="32"/>
          <w:szCs w:val="32"/>
        </w:rPr>
      </w:pPr>
      <w:bookmarkStart w:id="225" w:name="_Toc15352"/>
      <w:bookmarkStart w:id="226" w:name="_Toc1595"/>
      <w:r>
        <w:rPr>
          <w:rFonts w:hint="eastAsia" w:ascii="宋体" w:hAnsi="宋体" w:eastAsia="宋体" w:cs="宋体"/>
          <w:color w:val="auto"/>
          <w:sz w:val="40"/>
          <w:szCs w:val="40"/>
        </w:rPr>
        <w:t>（</w:t>
      </w:r>
      <w:r>
        <w:rPr>
          <w:rFonts w:hint="eastAsia" w:ascii="宋体" w:hAnsi="宋体" w:eastAsia="宋体" w:cs="宋体"/>
          <w:color w:val="auto"/>
          <w:sz w:val="32"/>
          <w:szCs w:val="32"/>
        </w:rPr>
        <w:t>投标文件</w:t>
      </w:r>
      <w:r>
        <w:rPr>
          <w:rFonts w:hint="eastAsia" w:ascii="宋体" w:hAnsi="宋体" w:eastAsia="宋体" w:cs="宋体"/>
          <w:color w:val="auto"/>
          <w:sz w:val="32"/>
          <w:szCs w:val="32"/>
          <w:lang w:eastAsia="zh-CN"/>
        </w:rPr>
        <w:t>二</w:t>
      </w:r>
      <w:r>
        <w:rPr>
          <w:rFonts w:hint="eastAsia" w:ascii="宋体" w:hAnsi="宋体" w:eastAsia="宋体" w:cs="宋体"/>
          <w:color w:val="auto"/>
          <w:sz w:val="32"/>
          <w:szCs w:val="32"/>
        </w:rPr>
        <w:t>）</w:t>
      </w:r>
      <w:bookmarkEnd w:id="225"/>
      <w:bookmarkEnd w:id="226"/>
    </w:p>
    <w:p>
      <w:pPr>
        <w:wordWrap w:val="0"/>
        <w:overflowPunct w:val="0"/>
        <w:jc w:val="center"/>
        <w:rPr>
          <w:rFonts w:hint="eastAsia" w:ascii="宋体" w:hAnsi="宋体" w:eastAsia="宋体" w:cs="宋体"/>
          <w:color w:val="auto"/>
          <w:sz w:val="32"/>
          <w:szCs w:val="32"/>
        </w:rPr>
      </w:pPr>
    </w:p>
    <w:p>
      <w:pPr>
        <w:wordWrap w:val="0"/>
        <w:overflowPunct w:val="0"/>
        <w:jc w:val="center"/>
        <w:outlineLvl w:val="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bookmarkStart w:id="227" w:name="_Toc5252"/>
      <w:bookmarkStart w:id="228" w:name="_Toc28932"/>
      <w:r>
        <w:rPr>
          <w:rFonts w:hint="eastAsia" w:ascii="宋体" w:hAnsi="宋体" w:eastAsia="宋体" w:cs="宋体"/>
          <w:color w:val="auto"/>
          <w:sz w:val="28"/>
          <w:szCs w:val="28"/>
        </w:rPr>
        <w:t>项目</w:t>
      </w:r>
      <w:bookmarkEnd w:id="227"/>
      <w:bookmarkEnd w:id="228"/>
    </w:p>
    <w:p>
      <w:pPr>
        <w:wordWrap w:val="0"/>
        <w:overflowPunct w:val="0"/>
        <w:rPr>
          <w:rFonts w:hint="eastAsia" w:ascii="宋体" w:hAnsi="宋体" w:eastAsia="宋体" w:cs="宋体"/>
          <w:color w:val="auto"/>
          <w:sz w:val="24"/>
          <w:szCs w:val="24"/>
        </w:rPr>
      </w:pPr>
    </w:p>
    <w:p>
      <w:pPr>
        <w:pStyle w:val="2"/>
        <w:rPr>
          <w:rFonts w:hint="eastAsia" w:ascii="宋体" w:hAnsi="宋体" w:eastAsia="宋体" w:cs="宋体"/>
          <w:sz w:val="20"/>
          <w:szCs w:val="22"/>
        </w:rPr>
      </w:pPr>
    </w:p>
    <w:p>
      <w:pPr>
        <w:wordWrap w:val="0"/>
        <w:overflowPunct w:val="0"/>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投标人：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pPr>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w:t>
      </w:r>
      <w:r>
        <w:rPr>
          <w:rFonts w:hint="eastAsia" w:ascii="宋体" w:hAnsi="宋体" w:eastAsia="宋体" w:cs="宋体"/>
          <w:color w:val="000000"/>
          <w:sz w:val="24"/>
          <w:szCs w:val="24"/>
          <w:lang w:eastAsia="zh-CN"/>
        </w:rPr>
        <w:t>字或盖</w:t>
      </w:r>
      <w:r>
        <w:rPr>
          <w:rFonts w:hint="eastAsia" w:ascii="宋体" w:hAnsi="宋体" w:eastAsia="宋体" w:cs="宋体"/>
          <w:color w:val="000000"/>
          <w:sz w:val="24"/>
          <w:szCs w:val="24"/>
        </w:rPr>
        <w:t>章）</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wordWrap w:val="0"/>
        <w:overflowPunct w:val="0"/>
        <w:spacing w:line="720" w:lineRule="auto"/>
        <w:jc w:val="center"/>
        <w:rPr>
          <w:rFonts w:hint="eastAsia" w:ascii="宋体" w:hAnsi="宋体" w:eastAsia="宋体" w:cs="宋体"/>
          <w:b/>
          <w:color w:val="auto"/>
          <w:sz w:val="32"/>
          <w:szCs w:val="32"/>
        </w:rPr>
      </w:pPr>
    </w:p>
    <w:p>
      <w:pPr>
        <w:spacing w:line="400" w:lineRule="exact"/>
        <w:rPr>
          <w:rFonts w:hint="eastAsia" w:ascii="宋体" w:hAnsi="宋体" w:eastAsia="宋体" w:cs="宋体"/>
          <w:b/>
          <w:color w:val="auto"/>
          <w:sz w:val="24"/>
          <w:szCs w:val="24"/>
        </w:rPr>
      </w:pPr>
    </w:p>
    <w:p>
      <w:pPr>
        <w:rPr>
          <w:rFonts w:hint="eastAsia" w:ascii="宋体" w:hAnsi="宋体" w:eastAsia="宋体" w:cs="宋体"/>
          <w:color w:val="auto"/>
          <w:sz w:val="20"/>
          <w:szCs w:val="22"/>
        </w:rPr>
      </w:pPr>
    </w:p>
    <w:p>
      <w:pPr>
        <w:spacing w:line="400" w:lineRule="exact"/>
        <w:ind w:firstLine="2253" w:firstLineChars="935"/>
        <w:rPr>
          <w:rFonts w:hint="eastAsia" w:ascii="宋体" w:hAnsi="宋体" w:eastAsia="宋体" w:cs="宋体"/>
          <w:b/>
          <w:color w:val="auto"/>
          <w:sz w:val="24"/>
          <w:szCs w:val="24"/>
        </w:rPr>
      </w:pPr>
    </w:p>
    <w:p>
      <w:pPr>
        <w:spacing w:line="4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pPr>
        <w:spacing w:line="400" w:lineRule="exact"/>
        <w:ind w:firstLine="3755" w:firstLineChars="935"/>
        <w:rPr>
          <w:rFonts w:hint="eastAsia" w:ascii="宋体" w:hAnsi="宋体" w:eastAsia="宋体" w:cs="宋体"/>
          <w:b/>
          <w:color w:val="auto"/>
          <w:sz w:val="40"/>
          <w:szCs w:val="40"/>
        </w:rPr>
      </w:pPr>
    </w:p>
    <w:p>
      <w:pPr>
        <w:pStyle w:val="125"/>
        <w:ind w:firstLine="480"/>
        <w:rPr>
          <w:rFonts w:hint="eastAsia" w:ascii="宋体" w:hAnsi="宋体" w:eastAsia="宋体" w:cs="宋体"/>
          <w:color w:val="auto"/>
          <w:sz w:val="22"/>
          <w:szCs w:val="20"/>
        </w:rPr>
      </w:pPr>
      <w:r>
        <w:rPr>
          <w:rFonts w:hint="eastAsia" w:ascii="宋体" w:hAnsi="宋体" w:eastAsia="宋体" w:cs="宋体"/>
          <w:color w:val="auto"/>
          <w:sz w:val="22"/>
          <w:szCs w:val="20"/>
        </w:rPr>
        <w:t>（1）开标一览表（格式见附件）；</w:t>
      </w:r>
    </w:p>
    <w:p>
      <w:pPr>
        <w:pStyle w:val="125"/>
        <w:ind w:firstLine="480"/>
        <w:rPr>
          <w:rFonts w:hint="eastAsia" w:ascii="宋体" w:hAnsi="宋体" w:eastAsia="宋体" w:cs="宋体"/>
          <w:color w:val="auto"/>
          <w:sz w:val="22"/>
          <w:szCs w:val="20"/>
        </w:rPr>
      </w:pPr>
      <w:r>
        <w:rPr>
          <w:rFonts w:hint="eastAsia" w:ascii="宋体" w:hAnsi="宋体" w:eastAsia="宋体" w:cs="宋体"/>
          <w:color w:val="auto"/>
          <w:sz w:val="22"/>
          <w:szCs w:val="20"/>
        </w:rPr>
        <w:t>（2）投标函（格式见附件）；</w:t>
      </w:r>
    </w:p>
    <w:p>
      <w:pPr>
        <w:pStyle w:val="125"/>
        <w:ind w:firstLine="480"/>
        <w:rPr>
          <w:rFonts w:hint="eastAsia" w:ascii="宋体" w:hAnsi="宋体" w:eastAsia="宋体" w:cs="宋体"/>
          <w:color w:val="auto"/>
          <w:sz w:val="22"/>
          <w:szCs w:val="20"/>
        </w:rPr>
      </w:pPr>
      <w:r>
        <w:rPr>
          <w:rFonts w:hint="eastAsia" w:ascii="宋体" w:hAnsi="宋体" w:eastAsia="宋体" w:cs="宋体"/>
          <w:color w:val="auto"/>
          <w:sz w:val="22"/>
          <w:szCs w:val="20"/>
        </w:rPr>
        <w:t>（</w:t>
      </w:r>
      <w:r>
        <w:rPr>
          <w:rFonts w:hint="eastAsia" w:ascii="宋体" w:hAnsi="宋体" w:eastAsia="宋体" w:cs="宋体"/>
          <w:color w:val="auto"/>
          <w:sz w:val="22"/>
          <w:szCs w:val="20"/>
          <w:lang w:val="en-US" w:eastAsia="zh-CN"/>
        </w:rPr>
        <w:t>3</w:t>
      </w:r>
      <w:r>
        <w:rPr>
          <w:rFonts w:hint="eastAsia" w:ascii="宋体" w:hAnsi="宋体" w:eastAsia="宋体" w:cs="宋体"/>
          <w:color w:val="auto"/>
          <w:sz w:val="22"/>
          <w:szCs w:val="20"/>
        </w:rPr>
        <w:t>）</w:t>
      </w:r>
      <w:r>
        <w:rPr>
          <w:rFonts w:hint="eastAsia" w:hAnsi="宋体" w:cs="宋体"/>
          <w:color w:val="auto"/>
          <w:sz w:val="22"/>
          <w:szCs w:val="20"/>
          <w:lang w:eastAsia="zh-CN"/>
        </w:rPr>
        <w:t>分项报价清单表</w:t>
      </w:r>
      <w:r>
        <w:rPr>
          <w:rFonts w:hint="eastAsia" w:ascii="宋体" w:hAnsi="宋体" w:eastAsia="宋体" w:cs="宋体"/>
          <w:color w:val="auto"/>
          <w:sz w:val="22"/>
          <w:szCs w:val="20"/>
        </w:rPr>
        <w:t>；</w:t>
      </w:r>
    </w:p>
    <w:p>
      <w:pPr>
        <w:pStyle w:val="125"/>
        <w:ind w:firstLine="480"/>
        <w:rPr>
          <w:rFonts w:hint="eastAsia" w:ascii="宋体" w:hAnsi="宋体" w:eastAsia="宋体" w:cs="宋体"/>
          <w:color w:val="auto"/>
          <w:sz w:val="22"/>
          <w:szCs w:val="20"/>
        </w:rPr>
      </w:pPr>
      <w:r>
        <w:rPr>
          <w:rFonts w:hint="eastAsia" w:ascii="宋体" w:hAnsi="宋体" w:eastAsia="宋体" w:cs="宋体"/>
          <w:color w:val="auto"/>
          <w:sz w:val="22"/>
          <w:szCs w:val="20"/>
        </w:rPr>
        <w:t>（</w:t>
      </w:r>
      <w:r>
        <w:rPr>
          <w:rFonts w:hint="eastAsia" w:ascii="宋体" w:hAnsi="宋体" w:eastAsia="宋体" w:cs="宋体"/>
          <w:color w:val="auto"/>
          <w:sz w:val="22"/>
          <w:szCs w:val="20"/>
          <w:lang w:val="en-US" w:eastAsia="zh-CN"/>
        </w:rPr>
        <w:t>4</w:t>
      </w:r>
      <w:r>
        <w:rPr>
          <w:rFonts w:hint="eastAsia" w:ascii="宋体" w:hAnsi="宋体" w:eastAsia="宋体" w:cs="宋体"/>
          <w:color w:val="auto"/>
          <w:sz w:val="22"/>
          <w:szCs w:val="20"/>
        </w:rPr>
        <w:t>）投标人认为需要提供的其他材料。</w:t>
      </w:r>
    </w:p>
    <w:p>
      <w:pPr>
        <w:rPr>
          <w:rFonts w:hint="eastAsia" w:ascii="宋体" w:hAnsi="宋体" w:eastAsia="宋体" w:cs="宋体"/>
          <w:color w:val="auto"/>
          <w:sz w:val="20"/>
          <w:szCs w:val="22"/>
        </w:rPr>
      </w:pPr>
    </w:p>
    <w:p>
      <w:pPr>
        <w:jc w:val="center"/>
        <w:rPr>
          <w:rFonts w:hint="eastAsia" w:ascii="宋体" w:hAnsi="宋体" w:eastAsia="宋体" w:cs="宋体"/>
          <w:b/>
          <w:color w:val="auto"/>
          <w:sz w:val="24"/>
          <w:szCs w:val="24"/>
        </w:rPr>
      </w:pPr>
    </w:p>
    <w:p>
      <w:pPr>
        <w:jc w:val="center"/>
        <w:rPr>
          <w:rFonts w:hint="eastAsia" w:ascii="宋体" w:hAnsi="宋体" w:eastAsia="宋体" w:cs="宋体"/>
          <w:b/>
          <w:bCs/>
          <w:color w:val="auto"/>
          <w:sz w:val="28"/>
          <w:szCs w:val="28"/>
        </w:rPr>
      </w:pPr>
    </w:p>
    <w:p>
      <w:pPr>
        <w:jc w:val="center"/>
        <w:rPr>
          <w:rFonts w:hint="eastAsia" w:ascii="宋体" w:hAnsi="宋体" w:eastAsia="宋体" w:cs="宋体"/>
          <w:b/>
          <w:color w:val="auto"/>
          <w:sz w:val="24"/>
          <w:szCs w:val="24"/>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sectPr>
          <w:pgSz w:w="11906" w:h="16838"/>
          <w:pgMar w:top="1440" w:right="1803" w:bottom="1440" w:left="1803" w:header="851" w:footer="992" w:gutter="0"/>
          <w:cols w:space="0" w:num="1"/>
          <w:docGrid w:type="lines" w:linePitch="332" w:charSpace="0"/>
        </w:sectPr>
      </w:pPr>
    </w:p>
    <w:p>
      <w:pPr>
        <w:spacing w:line="360" w:lineRule="exact"/>
        <w:ind w:firstLine="413" w:firstLineChars="147"/>
        <w:outlineLvl w:val="0"/>
        <w:rPr>
          <w:rFonts w:hint="eastAsia" w:ascii="宋体" w:hAnsi="宋体" w:eastAsia="宋体" w:cs="宋体"/>
          <w:b/>
          <w:color w:val="auto"/>
          <w:sz w:val="32"/>
          <w:szCs w:val="32"/>
        </w:rPr>
      </w:pPr>
      <w:bookmarkStart w:id="229" w:name="_Toc22207"/>
      <w:bookmarkStart w:id="230" w:name="_Toc30091"/>
      <w:r>
        <w:rPr>
          <w:rFonts w:hint="eastAsia" w:ascii="宋体" w:hAnsi="宋体" w:eastAsia="宋体" w:cs="宋体"/>
          <w:b/>
          <w:color w:val="auto"/>
          <w:sz w:val="28"/>
          <w:szCs w:val="28"/>
        </w:rPr>
        <w:t xml:space="preserve">附件1            </w:t>
      </w:r>
      <w:r>
        <w:rPr>
          <w:rFonts w:hint="eastAsia" w:ascii="宋体" w:hAnsi="宋体" w:eastAsia="宋体" w:cs="宋体"/>
          <w:b/>
          <w:color w:val="auto"/>
          <w:sz w:val="32"/>
          <w:szCs w:val="32"/>
        </w:rPr>
        <w:t>开标一览表</w:t>
      </w:r>
      <w:bookmarkEnd w:id="229"/>
      <w:bookmarkEnd w:id="230"/>
    </w:p>
    <w:tbl>
      <w:tblPr>
        <w:tblStyle w:val="34"/>
        <w:tblW w:w="92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4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5" w:hRule="exact"/>
        </w:trPr>
        <w:tc>
          <w:tcPr>
            <w:tcW w:w="1812" w:type="dxa"/>
            <w:tcBorders>
              <w:top w:val="single" w:color="auto" w:sz="12" w:space="0"/>
              <w:bottom w:val="single" w:color="auto" w:sz="12" w:space="0"/>
              <w:right w:val="single" w:color="auto" w:sz="12" w:space="0"/>
            </w:tcBorders>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项目名称</w:t>
            </w:r>
          </w:p>
        </w:tc>
        <w:tc>
          <w:tcPr>
            <w:tcW w:w="7487" w:type="dxa"/>
            <w:tcBorders>
              <w:top w:val="single" w:color="auto" w:sz="12" w:space="0"/>
              <w:left w:val="single" w:color="auto" w:sz="12" w:space="0"/>
              <w:bottom w:val="single" w:color="auto" w:sz="12" w:space="0"/>
            </w:tcBorders>
            <w:vAlign w:val="center"/>
          </w:tcPr>
          <w:p>
            <w:pPr>
              <w:spacing w:line="360" w:lineRule="auto"/>
              <w:jc w:val="left"/>
              <w:rPr>
                <w:rFonts w:hint="eastAsia" w:ascii="宋体" w:hAnsi="宋体" w:eastAsia="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2" w:hRule="exact"/>
        </w:trPr>
        <w:tc>
          <w:tcPr>
            <w:tcW w:w="1812" w:type="dxa"/>
            <w:tcBorders>
              <w:top w:val="single" w:color="auto" w:sz="12" w:space="0"/>
              <w:right w:val="single" w:color="auto" w:sz="12" w:space="0"/>
            </w:tcBorders>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项目编号</w:t>
            </w:r>
          </w:p>
        </w:tc>
        <w:tc>
          <w:tcPr>
            <w:tcW w:w="7487" w:type="dxa"/>
            <w:tcBorders>
              <w:top w:val="single" w:color="auto" w:sz="12" w:space="0"/>
              <w:left w:val="single" w:color="auto" w:sz="12" w:space="0"/>
            </w:tcBorders>
            <w:vAlign w:val="center"/>
          </w:tcPr>
          <w:p>
            <w:pPr>
              <w:ind w:firstLine="2860" w:firstLineChars="13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4" w:hRule="exact"/>
        </w:trPr>
        <w:tc>
          <w:tcPr>
            <w:tcW w:w="1812" w:type="dxa"/>
            <w:tcBorders>
              <w:right w:val="single" w:color="auto" w:sz="12" w:space="0"/>
            </w:tcBorders>
            <w:vAlign w:val="center"/>
          </w:tcPr>
          <w:p>
            <w:pPr>
              <w:spacing w:line="460" w:lineRule="exact"/>
              <w:ind w:firstLine="110" w:firstLineChars="50"/>
              <w:rPr>
                <w:rFonts w:hint="eastAsia" w:ascii="宋体" w:hAnsi="宋体" w:eastAsia="宋体" w:cs="宋体"/>
                <w:color w:val="auto"/>
                <w:sz w:val="22"/>
                <w:szCs w:val="22"/>
              </w:rPr>
            </w:pPr>
            <w:r>
              <w:rPr>
                <w:rFonts w:hint="eastAsia" w:ascii="宋体" w:hAnsi="宋体" w:eastAsia="宋体" w:cs="宋体"/>
                <w:color w:val="auto"/>
                <w:sz w:val="22"/>
                <w:szCs w:val="22"/>
              </w:rPr>
              <w:t>投标人名称</w:t>
            </w:r>
          </w:p>
        </w:tc>
        <w:tc>
          <w:tcPr>
            <w:tcW w:w="7487" w:type="dxa"/>
            <w:tcBorders>
              <w:left w:val="single" w:color="auto" w:sz="12" w:space="0"/>
            </w:tcBorders>
          </w:tcPr>
          <w:p>
            <w:pPr>
              <w:pStyle w:val="22"/>
              <w:spacing w:line="460" w:lineRule="exact"/>
              <w:ind w:left="86" w:leftChars="41"/>
              <w:rPr>
                <w:rFonts w:hint="eastAsia" w:ascii="宋体" w:hAnsi="宋体" w:eastAsia="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46" w:hRule="exact"/>
        </w:trPr>
        <w:tc>
          <w:tcPr>
            <w:tcW w:w="1812" w:type="dxa"/>
            <w:tcBorders>
              <w:right w:val="single" w:color="auto" w:sz="12"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2"/>
                <w:szCs w:val="22"/>
              </w:rPr>
              <w:t>总投标价/服务期</w:t>
            </w:r>
          </w:p>
        </w:tc>
        <w:tc>
          <w:tcPr>
            <w:tcW w:w="7487" w:type="dxa"/>
            <w:tcBorders>
              <w:left w:val="single" w:color="auto" w:sz="12" w:space="0"/>
            </w:tcBorders>
            <w:vAlign w:val="center"/>
          </w:tcPr>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总投标价（大写）：        元</w:t>
            </w:r>
          </w:p>
          <w:p>
            <w:pPr>
              <w:spacing w:line="360" w:lineRule="auto"/>
              <w:ind w:firstLine="990" w:firstLineChars="450"/>
              <w:rPr>
                <w:rFonts w:hint="eastAsia" w:ascii="宋体" w:hAnsi="宋体" w:eastAsia="宋体" w:cs="宋体"/>
                <w:color w:val="auto"/>
                <w:sz w:val="22"/>
                <w:szCs w:val="22"/>
              </w:rPr>
            </w:pPr>
            <w:r>
              <w:rPr>
                <w:rFonts w:hint="eastAsia" w:ascii="宋体" w:hAnsi="宋体" w:eastAsia="宋体" w:cs="宋体"/>
                <w:color w:val="auto"/>
                <w:sz w:val="22"/>
                <w:szCs w:val="22"/>
              </w:rPr>
              <w:t>(小写) ：        元</w:t>
            </w:r>
          </w:p>
          <w:p>
            <w:pPr>
              <w:spacing w:line="360" w:lineRule="auto"/>
              <w:rPr>
                <w:rFonts w:hint="eastAsia" w:ascii="宋体" w:hAnsi="宋体" w:eastAsia="宋体" w:cs="宋体"/>
                <w:color w:val="auto"/>
                <w:sz w:val="20"/>
                <w:szCs w:val="22"/>
              </w:rPr>
            </w:pPr>
            <w:r>
              <w:rPr>
                <w:rFonts w:hint="eastAsia" w:ascii="宋体" w:hAnsi="宋体" w:eastAsia="宋体" w:cs="宋体"/>
                <w:color w:val="auto"/>
                <w:sz w:val="20"/>
                <w:szCs w:val="22"/>
              </w:rPr>
              <w:t>服务期：</w:t>
            </w:r>
            <w:r>
              <w:rPr>
                <w:rFonts w:hint="eastAsia" w:ascii="宋体" w:hAnsi="宋体" w:eastAsia="宋体" w:cs="宋体"/>
                <w:color w:val="auto"/>
                <w:sz w:val="20"/>
                <w:szCs w:val="22"/>
                <w:u w:val="single"/>
                <w:lang w:val="en-US" w:eastAsia="zh-CN"/>
              </w:rPr>
              <w:t xml:space="preserve">             </w:t>
            </w:r>
            <w:r>
              <w:rPr>
                <w:rFonts w:hint="eastAsia" w:ascii="宋体" w:hAnsi="宋体" w:eastAsia="宋体" w:cs="宋体"/>
                <w:color w:val="auto"/>
                <w:sz w:val="20"/>
                <w:szCs w:val="22"/>
              </w:rPr>
              <w:t>。</w:t>
            </w:r>
          </w:p>
        </w:tc>
      </w:tr>
    </w:tbl>
    <w:p>
      <w:pPr>
        <w:snapToGrid w:val="0"/>
        <w:spacing w:line="460" w:lineRule="exact"/>
        <w:ind w:left="2940" w:leftChars="1400" w:firstLine="663" w:firstLineChars="300"/>
        <w:rPr>
          <w:rFonts w:hint="eastAsia" w:ascii="宋体" w:hAnsi="宋体" w:eastAsia="宋体" w:cs="宋体"/>
          <w:b/>
          <w:color w:val="auto"/>
          <w:sz w:val="22"/>
          <w:szCs w:val="22"/>
        </w:rPr>
      </w:pPr>
    </w:p>
    <w:p>
      <w:pPr>
        <w:rPr>
          <w:rFonts w:hint="eastAsia" w:ascii="宋体" w:hAnsi="宋体" w:eastAsia="宋体" w:cs="宋体"/>
          <w:color w:val="auto"/>
          <w:sz w:val="22"/>
          <w:szCs w:val="22"/>
        </w:rPr>
      </w:pPr>
      <w:r>
        <w:rPr>
          <w:rFonts w:hint="eastAsia" w:ascii="宋体" w:hAnsi="宋体" w:eastAsia="宋体" w:cs="宋体"/>
          <w:color w:val="auto"/>
          <w:sz w:val="22"/>
          <w:szCs w:val="22"/>
        </w:rPr>
        <w:t>法定代表人（签</w:t>
      </w:r>
      <w:r>
        <w:rPr>
          <w:rFonts w:hint="eastAsia" w:ascii="宋体" w:hAnsi="宋体" w:eastAsia="宋体" w:cs="宋体"/>
          <w:color w:val="auto"/>
          <w:sz w:val="22"/>
          <w:szCs w:val="22"/>
          <w:lang w:eastAsia="zh-CN"/>
        </w:rPr>
        <w:t>字或盖</w:t>
      </w:r>
      <w:r>
        <w:rPr>
          <w:rFonts w:hint="eastAsia" w:ascii="宋体" w:hAnsi="宋体" w:eastAsia="宋体" w:cs="宋体"/>
          <w:color w:val="auto"/>
          <w:sz w:val="22"/>
          <w:szCs w:val="22"/>
        </w:rPr>
        <w:t>章）：                                投标人（</w:t>
      </w:r>
      <w:r>
        <w:rPr>
          <w:rFonts w:hint="eastAsia" w:ascii="宋体" w:hAnsi="宋体" w:eastAsia="宋体" w:cs="宋体"/>
          <w:color w:val="auto"/>
          <w:sz w:val="22"/>
          <w:szCs w:val="22"/>
          <w:lang w:eastAsia="zh-CN"/>
        </w:rPr>
        <w:t>盖</w:t>
      </w:r>
      <w:r>
        <w:rPr>
          <w:rFonts w:hint="eastAsia" w:ascii="宋体" w:hAnsi="宋体" w:eastAsia="宋体" w:cs="宋体"/>
          <w:color w:val="auto"/>
          <w:sz w:val="22"/>
          <w:szCs w:val="22"/>
        </w:rPr>
        <w:t>章）：</w:t>
      </w:r>
    </w:p>
    <w:p>
      <w:pPr>
        <w:snapToGrid w:val="0"/>
        <w:spacing w:before="332" w:beforeLines="100" w:after="332" w:afterLines="100"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 xml:space="preserve">                                      日  期：    年  月  日 </w:t>
      </w:r>
    </w:p>
    <w:p>
      <w:pPr>
        <w:spacing w:line="360" w:lineRule="exact"/>
        <w:ind w:firstLine="413" w:firstLineChars="147"/>
        <w:rPr>
          <w:rFonts w:hint="eastAsia" w:ascii="宋体" w:hAnsi="宋体" w:eastAsia="宋体" w:cs="宋体"/>
          <w:b/>
          <w:color w:val="auto"/>
          <w:sz w:val="28"/>
          <w:szCs w:val="28"/>
        </w:rPr>
      </w:pPr>
    </w:p>
    <w:p>
      <w:pPr>
        <w:pStyle w:val="2"/>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spacing w:line="360" w:lineRule="exact"/>
        <w:ind w:firstLine="413" w:firstLineChars="147"/>
        <w:rPr>
          <w:rFonts w:hint="eastAsia" w:ascii="宋体" w:hAnsi="宋体" w:eastAsia="宋体" w:cs="宋体"/>
          <w:b/>
          <w:color w:val="000000"/>
          <w:sz w:val="28"/>
          <w:szCs w:val="28"/>
        </w:rPr>
      </w:pPr>
      <w:r>
        <w:rPr>
          <w:rFonts w:hint="eastAsia" w:ascii="宋体" w:hAnsi="宋体" w:eastAsia="宋体" w:cs="宋体"/>
          <w:b/>
          <w:color w:val="000000"/>
          <w:sz w:val="28"/>
          <w:szCs w:val="28"/>
        </w:rPr>
        <w:t>附件2</w:t>
      </w:r>
    </w:p>
    <w:p>
      <w:pPr>
        <w:spacing w:line="360" w:lineRule="exact"/>
        <w:ind w:firstLine="472" w:firstLineChars="147"/>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投  标  函</w:t>
      </w:r>
    </w:p>
    <w:p>
      <w:pPr>
        <w:spacing w:line="440" w:lineRule="exact"/>
        <w:rPr>
          <w:rFonts w:hint="eastAsia" w:ascii="宋体" w:hAnsi="宋体" w:eastAsia="宋体" w:cs="宋体"/>
          <w:color w:val="000000"/>
          <w:sz w:val="22"/>
          <w:szCs w:val="22"/>
        </w:rPr>
      </w:pP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致：</w:t>
      </w:r>
      <w:r>
        <w:rPr>
          <w:rFonts w:hint="eastAsia" w:ascii="宋体" w:hAnsi="宋体" w:eastAsia="宋体" w:cs="宋体"/>
          <w:color w:val="000000"/>
          <w:sz w:val="22"/>
          <w:szCs w:val="22"/>
          <w:u w:val="single"/>
        </w:rPr>
        <w:t xml:space="preserve">       (采购人)       </w:t>
      </w:r>
      <w:r>
        <w:rPr>
          <w:rFonts w:hint="eastAsia" w:ascii="宋体" w:hAnsi="宋体" w:eastAsia="宋体" w:cs="宋体"/>
          <w:color w:val="000000"/>
          <w:sz w:val="22"/>
          <w:szCs w:val="22"/>
        </w:rPr>
        <w:t xml:space="preserve"> </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1.我们决定参加贵单位组织的“</w:t>
      </w:r>
      <w:r>
        <w:rPr>
          <w:rFonts w:hint="eastAsia" w:ascii="宋体" w:hAnsi="宋体" w:eastAsia="宋体" w:cs="宋体"/>
          <w:color w:val="000000"/>
          <w:sz w:val="22"/>
          <w:szCs w:val="22"/>
          <w:u w:val="single"/>
        </w:rPr>
        <w:t xml:space="preserve"> （项目名称）        </w:t>
      </w:r>
      <w:r>
        <w:rPr>
          <w:rFonts w:hint="eastAsia" w:ascii="宋体" w:hAnsi="宋体" w:eastAsia="宋体" w:cs="宋体"/>
          <w:color w:val="000000"/>
          <w:sz w:val="22"/>
          <w:szCs w:val="22"/>
        </w:rPr>
        <w:t xml:space="preserve">”的采购。我方授权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(姓名和职务)代表我方</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（投标人的名称）全权处理本项目投标的有关事宜。</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2.我方愿意按照招标文件规定的各项要求，向采购人提供“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（项目名称）”项目的货物与服务，总投标价为</w:t>
      </w:r>
      <w:r>
        <w:rPr>
          <w:rFonts w:hint="eastAsia" w:ascii="宋体" w:hAnsi="宋体" w:eastAsia="宋体" w:cs="宋体"/>
          <w:sz w:val="20"/>
          <w:szCs w:val="22"/>
          <w:u w:val="single"/>
        </w:rPr>
        <w:t xml:space="preserve">         </w:t>
      </w:r>
      <w:r>
        <w:rPr>
          <w:rFonts w:hint="eastAsia" w:ascii="宋体" w:hAnsi="宋体" w:eastAsia="宋体" w:cs="宋体"/>
          <w:color w:val="000000"/>
          <w:sz w:val="22"/>
          <w:szCs w:val="22"/>
        </w:rPr>
        <w:t>（大写）</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u w:val="single"/>
          <w:lang w:eastAsia="zh-CN"/>
        </w:rPr>
        <w:t>（小写）</w:t>
      </w:r>
      <w:r>
        <w:rPr>
          <w:rFonts w:hint="eastAsia" w:ascii="宋体" w:hAnsi="宋体" w:eastAsia="宋体" w:cs="宋体"/>
          <w:color w:val="000000"/>
          <w:sz w:val="22"/>
          <w:szCs w:val="22"/>
        </w:rPr>
        <w:t xml:space="preserve"> ；供货（服务）期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3.一旦我方成为合同签字人，我方将严格履行合同规定的责任和义务。</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4.我方同意按照招标文件的要求，递交文件。并且承诺，在投标有效期内如果我方撤回投标文件或成为合同签字人后拒绝签订合同，我方愿意承担一切法律后果。</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5.若我方中标，愿意为本项目提交的纸质投标文件一式三份，其中正本一份、副本二份。</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6.我方愿意提供可能另外要求的、与采购投标有关的文件资料，并保证我方已提供和将要提供的文件是真实的、准确的。</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7、我单位提供如下通讯地址：                电子邮箱（地址），确认本项目相关法律文书均通过提供的以上地址送达，相关文书只要发送至以上电子邮箱（地址）即视为送达，投标人愿意承担一切法律后果。</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w:t>
      </w:r>
    </w:p>
    <w:p>
      <w:pPr>
        <w:spacing w:line="440" w:lineRule="exact"/>
        <w:jc w:val="right"/>
        <w:rPr>
          <w:rFonts w:hint="eastAsia" w:ascii="宋体" w:hAnsi="宋体" w:eastAsia="宋体" w:cs="宋体"/>
          <w:color w:val="000000"/>
          <w:sz w:val="22"/>
          <w:szCs w:val="22"/>
        </w:rPr>
      </w:pPr>
      <w:r>
        <w:rPr>
          <w:rFonts w:hint="eastAsia" w:ascii="宋体" w:hAnsi="宋体" w:eastAsia="宋体" w:cs="宋体"/>
          <w:color w:val="000000"/>
          <w:sz w:val="22"/>
          <w:szCs w:val="22"/>
        </w:rPr>
        <w:t>投标人名称：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（盖单位章）</w:t>
      </w:r>
    </w:p>
    <w:p>
      <w:pPr>
        <w:spacing w:line="440" w:lineRule="exact"/>
        <w:jc w:val="right"/>
        <w:rPr>
          <w:rFonts w:hint="eastAsia" w:ascii="宋体" w:hAnsi="宋体" w:eastAsia="宋体" w:cs="宋体"/>
          <w:color w:val="000000"/>
          <w:sz w:val="22"/>
          <w:szCs w:val="22"/>
        </w:rPr>
      </w:pPr>
    </w:p>
    <w:p>
      <w:pPr>
        <w:spacing w:line="440" w:lineRule="exact"/>
        <w:jc w:val="right"/>
        <w:rPr>
          <w:rFonts w:hint="eastAsia" w:ascii="宋体" w:hAnsi="宋体" w:eastAsia="宋体" w:cs="宋体"/>
          <w:color w:val="000000"/>
          <w:sz w:val="22"/>
          <w:szCs w:val="22"/>
        </w:rPr>
      </w:pPr>
      <w:r>
        <w:rPr>
          <w:rFonts w:hint="eastAsia" w:ascii="宋体" w:hAnsi="宋体" w:eastAsia="宋体" w:cs="宋体"/>
          <w:color w:val="000000"/>
          <w:sz w:val="22"/>
          <w:szCs w:val="22"/>
        </w:rPr>
        <w:t>投标人法定代表人：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（签</w:t>
      </w:r>
      <w:r>
        <w:rPr>
          <w:rFonts w:hint="eastAsia" w:ascii="宋体" w:hAnsi="宋体" w:eastAsia="宋体" w:cs="宋体"/>
          <w:color w:val="000000"/>
          <w:sz w:val="22"/>
          <w:szCs w:val="22"/>
          <w:lang w:eastAsia="zh-CN"/>
        </w:rPr>
        <w:t>字或盖</w:t>
      </w:r>
      <w:r>
        <w:rPr>
          <w:rFonts w:hint="eastAsia" w:ascii="宋体" w:hAnsi="宋体" w:eastAsia="宋体" w:cs="宋体"/>
          <w:color w:val="000000"/>
          <w:sz w:val="22"/>
          <w:szCs w:val="22"/>
        </w:rPr>
        <w:t>章）</w:t>
      </w:r>
    </w:p>
    <w:p>
      <w:pPr>
        <w:spacing w:line="440" w:lineRule="exact"/>
        <w:ind w:firstLine="2310" w:firstLineChars="1050"/>
        <w:rPr>
          <w:rFonts w:hint="eastAsia" w:ascii="宋体" w:hAnsi="宋体" w:eastAsia="宋体" w:cs="宋体"/>
          <w:color w:val="000000"/>
          <w:sz w:val="22"/>
          <w:szCs w:val="22"/>
        </w:rPr>
      </w:pPr>
      <w:r>
        <w:rPr>
          <w:rFonts w:hint="eastAsia" w:ascii="宋体" w:hAnsi="宋体" w:eastAsia="宋体" w:cs="宋体"/>
          <w:color w:val="000000"/>
          <w:sz w:val="22"/>
          <w:szCs w:val="22"/>
        </w:rPr>
        <w:t>日    期：</w:t>
      </w:r>
      <w:r>
        <w:rPr>
          <w:rFonts w:hint="eastAsia" w:ascii="宋体" w:hAnsi="宋体" w:eastAsia="宋体" w:cs="宋体"/>
          <w:color w:val="000000"/>
          <w:sz w:val="22"/>
          <w:szCs w:val="22"/>
          <w:u w:val="single"/>
        </w:rPr>
        <w:t xml:space="preserve">                 </w:t>
      </w:r>
    </w:p>
    <w:p>
      <w:pPr>
        <w:spacing w:line="440" w:lineRule="exact"/>
        <w:ind w:firstLine="2310" w:firstLineChars="1050"/>
        <w:rPr>
          <w:rFonts w:hint="eastAsia" w:ascii="宋体" w:hAnsi="宋体" w:eastAsia="宋体" w:cs="宋体"/>
          <w:color w:val="000000"/>
          <w:sz w:val="22"/>
          <w:szCs w:val="22"/>
        </w:rPr>
      </w:pPr>
      <w:r>
        <w:rPr>
          <w:rFonts w:hint="eastAsia" w:ascii="宋体" w:hAnsi="宋体" w:eastAsia="宋体" w:cs="宋体"/>
          <w:color w:val="000000"/>
          <w:sz w:val="22"/>
          <w:szCs w:val="22"/>
        </w:rPr>
        <w:t>通讯地址：</w:t>
      </w:r>
      <w:r>
        <w:rPr>
          <w:rFonts w:hint="eastAsia" w:ascii="宋体" w:hAnsi="宋体" w:eastAsia="宋体" w:cs="宋体"/>
          <w:color w:val="000000"/>
          <w:sz w:val="22"/>
          <w:szCs w:val="22"/>
          <w:u w:val="single"/>
        </w:rPr>
        <w:t xml:space="preserve">                 </w:t>
      </w:r>
    </w:p>
    <w:p>
      <w:pPr>
        <w:spacing w:line="440" w:lineRule="exact"/>
        <w:ind w:firstLine="2310" w:firstLineChars="1050"/>
        <w:rPr>
          <w:rFonts w:hint="eastAsia" w:ascii="宋体" w:hAnsi="宋体" w:eastAsia="宋体" w:cs="宋体"/>
          <w:color w:val="000000"/>
          <w:sz w:val="22"/>
          <w:szCs w:val="22"/>
        </w:rPr>
      </w:pPr>
      <w:r>
        <w:rPr>
          <w:rFonts w:hint="eastAsia" w:ascii="宋体" w:hAnsi="宋体" w:eastAsia="宋体" w:cs="宋体"/>
          <w:color w:val="000000"/>
          <w:sz w:val="22"/>
          <w:szCs w:val="22"/>
        </w:rPr>
        <w:t>电    话：</w:t>
      </w:r>
      <w:r>
        <w:rPr>
          <w:rFonts w:hint="eastAsia" w:ascii="宋体" w:hAnsi="宋体" w:eastAsia="宋体" w:cs="宋体"/>
          <w:color w:val="000000"/>
          <w:sz w:val="22"/>
          <w:szCs w:val="22"/>
          <w:u w:val="single"/>
        </w:rPr>
        <w:t xml:space="preserve">                 </w:t>
      </w:r>
    </w:p>
    <w:p>
      <w:pPr>
        <w:ind w:right="-178" w:rightChars="-85" w:firstLine="2310" w:firstLineChars="1050"/>
        <w:rPr>
          <w:rFonts w:hint="eastAsia" w:ascii="宋体" w:hAnsi="宋体" w:eastAsia="宋体" w:cs="宋体"/>
          <w:color w:val="000000"/>
          <w:sz w:val="22"/>
          <w:szCs w:val="22"/>
          <w:u w:val="single"/>
        </w:rPr>
      </w:pPr>
      <w:r>
        <w:rPr>
          <w:rFonts w:hint="eastAsia" w:ascii="宋体" w:hAnsi="宋体" w:eastAsia="宋体" w:cs="宋体"/>
          <w:color w:val="000000"/>
          <w:sz w:val="22"/>
          <w:szCs w:val="22"/>
        </w:rPr>
        <w:t>传    真：</w:t>
      </w:r>
      <w:r>
        <w:rPr>
          <w:rFonts w:hint="eastAsia" w:ascii="宋体" w:hAnsi="宋体" w:eastAsia="宋体" w:cs="宋体"/>
          <w:color w:val="000000"/>
          <w:sz w:val="22"/>
          <w:szCs w:val="22"/>
          <w:u w:val="single"/>
        </w:rPr>
        <w:t xml:space="preserve">                 </w:t>
      </w:r>
    </w:p>
    <w:p>
      <w:pPr>
        <w:spacing w:line="360" w:lineRule="exact"/>
        <w:outlineLvl w:val="0"/>
        <w:rPr>
          <w:rFonts w:hint="eastAsia" w:ascii="宋体" w:hAnsi="宋体" w:eastAsia="宋体" w:cs="宋体"/>
          <w:color w:val="auto"/>
          <w:sz w:val="22"/>
          <w:szCs w:val="22"/>
        </w:rPr>
      </w:pPr>
      <w:bookmarkStart w:id="231" w:name="_Toc16287"/>
      <w:bookmarkStart w:id="232" w:name="_Toc6026"/>
    </w:p>
    <w:p>
      <w:pPr>
        <w:spacing w:line="360" w:lineRule="exact"/>
        <w:ind w:firstLine="323" w:firstLineChars="147"/>
        <w:outlineLvl w:val="0"/>
        <w:rPr>
          <w:rFonts w:hint="eastAsia" w:ascii="宋体" w:hAnsi="宋体" w:eastAsia="宋体" w:cs="宋体"/>
          <w:color w:val="auto"/>
          <w:sz w:val="22"/>
          <w:szCs w:val="22"/>
        </w:rPr>
      </w:pPr>
    </w:p>
    <w:bookmarkEnd w:id="231"/>
    <w:bookmarkEnd w:id="232"/>
    <w:p>
      <w:pPr>
        <w:rPr>
          <w:rFonts w:hint="eastAsia" w:ascii="宋体" w:hAnsi="宋体" w:cs="宋体"/>
          <w:b/>
          <w:sz w:val="28"/>
          <w:szCs w:val="28"/>
          <w:lang w:eastAsia="zh-CN"/>
        </w:rPr>
      </w:pPr>
      <w:r>
        <w:rPr>
          <w:rFonts w:hint="eastAsia" w:ascii="宋体" w:hAnsi="宋体" w:cs="宋体"/>
          <w:b/>
          <w:sz w:val="28"/>
          <w:szCs w:val="28"/>
          <w:lang w:eastAsia="zh-CN"/>
        </w:rPr>
        <w:br w:type="page"/>
      </w:r>
    </w:p>
    <w:p>
      <w:pPr>
        <w:spacing w:line="360" w:lineRule="auto"/>
        <w:ind w:left="720"/>
        <w:jc w:val="left"/>
        <w:rPr>
          <w:rFonts w:hint="eastAsia" w:ascii="宋体" w:hAnsi="宋体" w:cs="宋体"/>
          <w:b/>
          <w:sz w:val="28"/>
          <w:szCs w:val="28"/>
          <w:lang w:val="en-US" w:eastAsia="zh-CN"/>
        </w:rPr>
      </w:pPr>
      <w:r>
        <w:rPr>
          <w:rFonts w:hint="eastAsia" w:ascii="宋体" w:hAnsi="宋体" w:cs="宋体"/>
          <w:b/>
          <w:sz w:val="28"/>
          <w:szCs w:val="28"/>
          <w:lang w:eastAsia="zh-CN"/>
        </w:rPr>
        <w:t>附件</w:t>
      </w:r>
      <w:r>
        <w:rPr>
          <w:rFonts w:hint="eastAsia" w:ascii="宋体" w:hAnsi="宋体" w:cs="宋体"/>
          <w:b/>
          <w:sz w:val="28"/>
          <w:szCs w:val="28"/>
          <w:lang w:val="en-US" w:eastAsia="zh-CN"/>
        </w:rPr>
        <w:t>3</w:t>
      </w:r>
    </w:p>
    <w:p>
      <w:pPr>
        <w:spacing w:line="360" w:lineRule="auto"/>
        <w:ind w:left="720"/>
        <w:jc w:val="center"/>
        <w:rPr>
          <w:rFonts w:hint="eastAsia" w:ascii="宋体" w:hAnsi="宋体" w:cs="宋体"/>
          <w:b/>
          <w:sz w:val="36"/>
          <w:szCs w:val="36"/>
        </w:rPr>
      </w:pPr>
      <w:r>
        <w:rPr>
          <w:rFonts w:hint="eastAsia" w:ascii="宋体" w:hAnsi="宋体" w:cs="宋体"/>
          <w:b/>
          <w:sz w:val="28"/>
          <w:szCs w:val="28"/>
        </w:rPr>
        <w:t>分项报价清单</w:t>
      </w:r>
      <w:r>
        <w:rPr>
          <w:rFonts w:hint="eastAsia" w:ascii="宋体" w:hAnsi="宋体" w:cs="宋体"/>
          <w:b/>
          <w:sz w:val="28"/>
          <w:szCs w:val="28"/>
          <w:lang w:eastAsia="zh-CN"/>
        </w:rPr>
        <w:t>表</w:t>
      </w:r>
      <w:r>
        <w:rPr>
          <w:rFonts w:hint="eastAsia" w:ascii="宋体" w:hAnsi="宋体" w:cs="宋体"/>
          <w:b/>
          <w:sz w:val="28"/>
          <w:szCs w:val="28"/>
        </w:rPr>
        <w:t xml:space="preserve"> </w:t>
      </w:r>
    </w:p>
    <w:tbl>
      <w:tblPr>
        <w:tblStyle w:val="34"/>
        <w:tblW w:w="9213"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2038"/>
        <w:gridCol w:w="1242"/>
        <w:gridCol w:w="784"/>
        <w:gridCol w:w="856"/>
        <w:gridCol w:w="1344"/>
        <w:gridCol w:w="1473"/>
        <w:gridCol w:w="8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643" w:type="dxa"/>
            <w:noWrap w:val="0"/>
            <w:vAlign w:val="center"/>
          </w:tcPr>
          <w:p>
            <w:pPr>
              <w:spacing w:line="300" w:lineRule="exact"/>
              <w:jc w:val="center"/>
              <w:rPr>
                <w:rFonts w:hint="eastAsia" w:ascii="宋体" w:hAnsi="宋体"/>
                <w:szCs w:val="21"/>
              </w:rPr>
            </w:pPr>
            <w:r>
              <w:rPr>
                <w:rFonts w:hint="eastAsia" w:ascii="宋体" w:hAnsi="宋体"/>
                <w:szCs w:val="21"/>
              </w:rPr>
              <w:t>序号</w:t>
            </w:r>
          </w:p>
        </w:tc>
        <w:tc>
          <w:tcPr>
            <w:tcW w:w="2038" w:type="dxa"/>
            <w:tcBorders>
              <w:right w:val="single" w:color="auto" w:sz="4" w:space="0"/>
            </w:tcBorders>
            <w:noWrap w:val="0"/>
            <w:vAlign w:val="center"/>
          </w:tcPr>
          <w:p>
            <w:pPr>
              <w:spacing w:line="300" w:lineRule="exact"/>
              <w:jc w:val="center"/>
              <w:rPr>
                <w:rFonts w:hint="eastAsia" w:ascii="宋体" w:hAnsi="宋体"/>
                <w:szCs w:val="21"/>
              </w:rPr>
            </w:pPr>
            <w:r>
              <w:rPr>
                <w:rFonts w:hint="eastAsia" w:ascii="宋体" w:hAnsi="宋体"/>
                <w:szCs w:val="21"/>
              </w:rPr>
              <w:t>产品名称</w:t>
            </w:r>
          </w:p>
        </w:tc>
        <w:tc>
          <w:tcPr>
            <w:tcW w:w="1242" w:type="dxa"/>
            <w:tcBorders>
              <w:left w:val="single" w:color="auto" w:sz="4" w:space="0"/>
            </w:tcBorders>
            <w:noWrap w:val="0"/>
            <w:vAlign w:val="center"/>
          </w:tcPr>
          <w:p>
            <w:pPr>
              <w:spacing w:line="300" w:lineRule="exact"/>
              <w:jc w:val="center"/>
              <w:rPr>
                <w:rFonts w:hint="eastAsia" w:ascii="宋体" w:hAnsi="宋体" w:eastAsia="宋体"/>
                <w:szCs w:val="21"/>
                <w:lang w:eastAsia="zh-CN"/>
              </w:rPr>
            </w:pPr>
            <w:r>
              <w:rPr>
                <w:rFonts w:hint="eastAsia" w:ascii="宋体" w:hAnsi="宋体"/>
                <w:szCs w:val="21"/>
                <w:lang w:eastAsia="zh-CN"/>
              </w:rPr>
              <w:t>内容</w:t>
            </w:r>
          </w:p>
        </w:tc>
        <w:tc>
          <w:tcPr>
            <w:tcW w:w="784" w:type="dxa"/>
            <w:noWrap w:val="0"/>
            <w:vAlign w:val="center"/>
          </w:tcPr>
          <w:p>
            <w:pPr>
              <w:spacing w:line="300" w:lineRule="exact"/>
              <w:jc w:val="center"/>
              <w:rPr>
                <w:rFonts w:hint="eastAsia" w:ascii="宋体" w:hAnsi="宋体"/>
                <w:szCs w:val="21"/>
              </w:rPr>
            </w:pPr>
            <w:r>
              <w:rPr>
                <w:rFonts w:hint="eastAsia" w:ascii="宋体" w:hAnsi="宋体"/>
                <w:szCs w:val="21"/>
              </w:rPr>
              <w:t>单位</w:t>
            </w:r>
          </w:p>
        </w:tc>
        <w:tc>
          <w:tcPr>
            <w:tcW w:w="856" w:type="dxa"/>
            <w:noWrap w:val="0"/>
            <w:vAlign w:val="center"/>
          </w:tcPr>
          <w:p>
            <w:pPr>
              <w:spacing w:line="300" w:lineRule="exact"/>
              <w:jc w:val="center"/>
              <w:rPr>
                <w:rFonts w:hint="eastAsia" w:ascii="宋体" w:hAnsi="宋体"/>
                <w:szCs w:val="21"/>
              </w:rPr>
            </w:pPr>
            <w:r>
              <w:rPr>
                <w:rFonts w:hint="eastAsia" w:ascii="宋体" w:hAnsi="宋体"/>
                <w:szCs w:val="21"/>
              </w:rPr>
              <w:t>数量</w:t>
            </w:r>
          </w:p>
        </w:tc>
        <w:tc>
          <w:tcPr>
            <w:tcW w:w="1344" w:type="dxa"/>
            <w:tcBorders>
              <w:left w:val="single" w:color="auto" w:sz="4" w:space="0"/>
            </w:tcBorders>
            <w:noWrap w:val="0"/>
            <w:vAlign w:val="center"/>
          </w:tcPr>
          <w:p>
            <w:pPr>
              <w:spacing w:line="300" w:lineRule="exact"/>
              <w:jc w:val="center"/>
              <w:rPr>
                <w:rFonts w:hint="eastAsia" w:ascii="宋体" w:hAnsi="宋体"/>
                <w:szCs w:val="21"/>
              </w:rPr>
            </w:pPr>
            <w:r>
              <w:rPr>
                <w:rFonts w:hint="eastAsia" w:ascii="宋体" w:hAnsi="宋体"/>
                <w:szCs w:val="21"/>
              </w:rPr>
              <w:t>单 价（元）</w:t>
            </w:r>
          </w:p>
        </w:tc>
        <w:tc>
          <w:tcPr>
            <w:tcW w:w="1473" w:type="dxa"/>
            <w:noWrap w:val="0"/>
            <w:vAlign w:val="center"/>
          </w:tcPr>
          <w:p>
            <w:pPr>
              <w:spacing w:line="300" w:lineRule="exact"/>
              <w:jc w:val="center"/>
              <w:rPr>
                <w:rFonts w:hint="eastAsia" w:ascii="宋体" w:hAnsi="宋体"/>
                <w:szCs w:val="21"/>
              </w:rPr>
            </w:pPr>
            <w:r>
              <w:rPr>
                <w:rFonts w:hint="eastAsia" w:ascii="宋体" w:hAnsi="宋体"/>
                <w:szCs w:val="21"/>
              </w:rPr>
              <w:t>合 价（元）</w:t>
            </w:r>
          </w:p>
        </w:tc>
        <w:tc>
          <w:tcPr>
            <w:tcW w:w="833" w:type="dxa"/>
            <w:noWrap w:val="0"/>
            <w:vAlign w:val="center"/>
          </w:tcPr>
          <w:p>
            <w:pPr>
              <w:spacing w:line="300" w:lineRule="exact"/>
              <w:ind w:left="-80" w:leftChars="-38" w:right="-94" w:rightChars="-45"/>
              <w:jc w:val="center"/>
              <w:rPr>
                <w:rFonts w:hint="eastAsia" w:ascii="宋体" w:hAns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rPr>
                <w:rFonts w:hint="eastAsia" w:ascii="宋体" w:hAnsi="宋体"/>
                <w:szCs w:val="21"/>
              </w:rPr>
            </w:pPr>
            <w:r>
              <w:rPr>
                <w:rFonts w:hint="eastAsia" w:ascii="宋体" w:hAnsi="宋体"/>
                <w:szCs w:val="21"/>
              </w:rPr>
              <w:t>1</w:t>
            </w:r>
          </w:p>
        </w:tc>
        <w:tc>
          <w:tcPr>
            <w:tcW w:w="2038" w:type="dxa"/>
            <w:tcBorders>
              <w:right w:val="single" w:color="auto" w:sz="4" w:space="0"/>
            </w:tcBorders>
            <w:shd w:val="clear" w:color="auto" w:fill="FFFFFF"/>
            <w:noWrap w:val="0"/>
            <w:vAlign w:val="center"/>
          </w:tcPr>
          <w:p>
            <w:pPr>
              <w:spacing w:line="360" w:lineRule="auto"/>
              <w:jc w:val="center"/>
              <w:textAlignment w:val="center"/>
              <w:rPr>
                <w:rFonts w:hint="eastAsia" w:ascii="宋体" w:hAnsi="宋体"/>
                <w:sz w:val="24"/>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sz w:val="24"/>
              </w:rPr>
            </w:pPr>
          </w:p>
        </w:tc>
        <w:tc>
          <w:tcPr>
            <w:tcW w:w="784" w:type="dxa"/>
            <w:shd w:val="clear" w:color="auto" w:fill="FFFFFF"/>
            <w:noWrap w:val="0"/>
            <w:vAlign w:val="center"/>
          </w:tcPr>
          <w:p>
            <w:pPr>
              <w:spacing w:line="360" w:lineRule="auto"/>
              <w:jc w:val="center"/>
              <w:textAlignment w:val="center"/>
              <w:rPr>
                <w:rFonts w:hint="eastAsia" w:ascii="宋体" w:hAnsi="宋体"/>
                <w:sz w:val="24"/>
              </w:rPr>
            </w:pPr>
          </w:p>
        </w:tc>
        <w:tc>
          <w:tcPr>
            <w:tcW w:w="856" w:type="dxa"/>
            <w:shd w:val="clear" w:color="auto" w:fill="FFFFFF"/>
            <w:noWrap w:val="0"/>
            <w:vAlign w:val="center"/>
          </w:tcPr>
          <w:p>
            <w:pPr>
              <w:spacing w:line="360" w:lineRule="auto"/>
              <w:jc w:val="center"/>
              <w:textAlignment w:val="center"/>
              <w:rPr>
                <w:rFonts w:hint="eastAsia" w:ascii="宋体" w:hAnsi="宋体"/>
                <w:sz w:val="24"/>
              </w:rPr>
            </w:pPr>
          </w:p>
        </w:tc>
        <w:tc>
          <w:tcPr>
            <w:tcW w:w="1344" w:type="dxa"/>
            <w:tcBorders>
              <w:left w:val="single" w:color="auto" w:sz="4" w:space="0"/>
            </w:tcBorders>
            <w:noWrap w:val="0"/>
            <w:vAlign w:val="center"/>
          </w:tcPr>
          <w:p>
            <w:pPr>
              <w:spacing w:line="300" w:lineRule="exact"/>
              <w:rPr>
                <w:rFonts w:hint="eastAsia" w:ascii="宋体" w:hAnsi="宋体"/>
                <w:sz w:val="24"/>
              </w:rPr>
            </w:pPr>
          </w:p>
        </w:tc>
        <w:tc>
          <w:tcPr>
            <w:tcW w:w="1473" w:type="dxa"/>
            <w:noWrap w:val="0"/>
            <w:vAlign w:val="center"/>
          </w:tcPr>
          <w:p>
            <w:pPr>
              <w:spacing w:line="300" w:lineRule="exact"/>
              <w:rPr>
                <w:rFonts w:hint="eastAsia" w:ascii="宋体" w:hAnsi="宋体"/>
                <w:sz w:val="24"/>
              </w:rPr>
            </w:pPr>
          </w:p>
        </w:tc>
        <w:tc>
          <w:tcPr>
            <w:tcW w:w="833" w:type="dxa"/>
            <w:noWrap w:val="0"/>
            <w:vAlign w:val="top"/>
          </w:tcPr>
          <w:p>
            <w:pPr>
              <w:spacing w:line="30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rPr>
                <w:rFonts w:hint="eastAsia" w:ascii="宋体" w:hAnsi="宋体"/>
                <w:szCs w:val="21"/>
              </w:rPr>
            </w:pPr>
            <w:r>
              <w:rPr>
                <w:rFonts w:hint="eastAsia" w:ascii="宋体" w:hAnsi="宋体"/>
                <w:szCs w:val="21"/>
              </w:rPr>
              <w:t>2</w:t>
            </w:r>
          </w:p>
        </w:tc>
        <w:tc>
          <w:tcPr>
            <w:tcW w:w="2038" w:type="dxa"/>
            <w:tcBorders>
              <w:right w:val="single" w:color="auto" w:sz="4" w:space="0"/>
            </w:tcBorders>
            <w:shd w:val="clear" w:color="auto" w:fill="FFFFFF"/>
            <w:noWrap w:val="0"/>
            <w:vAlign w:val="center"/>
          </w:tcPr>
          <w:p>
            <w:pPr>
              <w:spacing w:line="360" w:lineRule="auto"/>
              <w:jc w:val="center"/>
              <w:textAlignment w:val="center"/>
              <w:rPr>
                <w:rFonts w:hint="eastAsia" w:ascii="宋体" w:hAnsi="宋体"/>
                <w:sz w:val="24"/>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sz w:val="24"/>
              </w:rPr>
            </w:pPr>
          </w:p>
        </w:tc>
        <w:tc>
          <w:tcPr>
            <w:tcW w:w="784" w:type="dxa"/>
            <w:shd w:val="clear" w:color="auto" w:fill="FFFFFF"/>
            <w:noWrap w:val="0"/>
            <w:vAlign w:val="center"/>
          </w:tcPr>
          <w:p>
            <w:pPr>
              <w:spacing w:line="360" w:lineRule="auto"/>
              <w:jc w:val="center"/>
              <w:textAlignment w:val="center"/>
              <w:rPr>
                <w:rFonts w:hint="eastAsia" w:ascii="宋体" w:hAnsi="宋体"/>
                <w:sz w:val="24"/>
              </w:rPr>
            </w:pPr>
          </w:p>
        </w:tc>
        <w:tc>
          <w:tcPr>
            <w:tcW w:w="856" w:type="dxa"/>
            <w:shd w:val="clear" w:color="auto" w:fill="FFFFFF"/>
            <w:noWrap w:val="0"/>
            <w:vAlign w:val="center"/>
          </w:tcPr>
          <w:p>
            <w:pPr>
              <w:spacing w:line="360" w:lineRule="auto"/>
              <w:jc w:val="center"/>
              <w:textAlignment w:val="center"/>
              <w:rPr>
                <w:rFonts w:hint="eastAsia" w:ascii="宋体" w:hAnsi="宋体"/>
                <w:sz w:val="24"/>
              </w:rPr>
            </w:pPr>
          </w:p>
        </w:tc>
        <w:tc>
          <w:tcPr>
            <w:tcW w:w="1344" w:type="dxa"/>
            <w:tcBorders>
              <w:left w:val="single" w:color="auto" w:sz="4" w:space="0"/>
            </w:tcBorders>
            <w:noWrap w:val="0"/>
            <w:vAlign w:val="center"/>
          </w:tcPr>
          <w:p>
            <w:pPr>
              <w:spacing w:line="300" w:lineRule="exact"/>
              <w:rPr>
                <w:rFonts w:hint="eastAsia" w:ascii="宋体" w:hAnsi="宋体"/>
                <w:sz w:val="24"/>
              </w:rPr>
            </w:pPr>
          </w:p>
        </w:tc>
        <w:tc>
          <w:tcPr>
            <w:tcW w:w="1473" w:type="dxa"/>
            <w:noWrap w:val="0"/>
            <w:vAlign w:val="center"/>
          </w:tcPr>
          <w:p>
            <w:pPr>
              <w:spacing w:line="300" w:lineRule="exact"/>
              <w:rPr>
                <w:rFonts w:hint="eastAsia" w:ascii="宋体" w:hAnsi="宋体"/>
                <w:sz w:val="24"/>
              </w:rPr>
            </w:pPr>
          </w:p>
        </w:tc>
        <w:tc>
          <w:tcPr>
            <w:tcW w:w="833" w:type="dxa"/>
            <w:noWrap w:val="0"/>
            <w:vAlign w:val="top"/>
          </w:tcPr>
          <w:p>
            <w:pPr>
              <w:spacing w:line="30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rPr>
                <w:rFonts w:hint="eastAsia" w:ascii="宋体" w:hAnsi="宋体"/>
                <w:szCs w:val="21"/>
              </w:rPr>
            </w:pPr>
            <w:r>
              <w:rPr>
                <w:rFonts w:hint="eastAsia" w:ascii="宋体" w:hAnsi="宋体"/>
                <w:szCs w:val="21"/>
              </w:rPr>
              <w:t>3</w:t>
            </w:r>
          </w:p>
        </w:tc>
        <w:tc>
          <w:tcPr>
            <w:tcW w:w="2038" w:type="dxa"/>
            <w:tcBorders>
              <w:right w:val="single" w:color="auto" w:sz="4" w:space="0"/>
            </w:tcBorders>
            <w:shd w:val="clear" w:color="auto" w:fill="FFFFFF"/>
            <w:noWrap w:val="0"/>
            <w:vAlign w:val="center"/>
          </w:tcPr>
          <w:p>
            <w:pPr>
              <w:spacing w:line="360" w:lineRule="auto"/>
              <w:jc w:val="center"/>
              <w:textAlignment w:val="center"/>
              <w:rPr>
                <w:rFonts w:hint="eastAsia" w:ascii="宋体" w:hAnsi="宋体"/>
                <w:sz w:val="24"/>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sz w:val="24"/>
              </w:rPr>
            </w:pPr>
          </w:p>
        </w:tc>
        <w:tc>
          <w:tcPr>
            <w:tcW w:w="784" w:type="dxa"/>
            <w:shd w:val="clear" w:color="auto" w:fill="FFFFFF"/>
            <w:noWrap w:val="0"/>
            <w:vAlign w:val="center"/>
          </w:tcPr>
          <w:p>
            <w:pPr>
              <w:spacing w:line="360" w:lineRule="auto"/>
              <w:jc w:val="center"/>
              <w:rPr>
                <w:rFonts w:hint="eastAsia" w:ascii="宋体" w:hAnsi="宋体"/>
                <w:sz w:val="24"/>
              </w:rPr>
            </w:pPr>
          </w:p>
        </w:tc>
        <w:tc>
          <w:tcPr>
            <w:tcW w:w="856" w:type="dxa"/>
            <w:shd w:val="clear" w:color="auto" w:fill="FFFFFF"/>
            <w:noWrap w:val="0"/>
            <w:vAlign w:val="center"/>
          </w:tcPr>
          <w:p>
            <w:pPr>
              <w:spacing w:line="360" w:lineRule="auto"/>
              <w:jc w:val="center"/>
              <w:textAlignment w:val="center"/>
              <w:rPr>
                <w:rFonts w:hint="eastAsia" w:ascii="宋体" w:hAnsi="宋体"/>
                <w:sz w:val="24"/>
              </w:rPr>
            </w:pPr>
          </w:p>
        </w:tc>
        <w:tc>
          <w:tcPr>
            <w:tcW w:w="1344" w:type="dxa"/>
            <w:tcBorders>
              <w:left w:val="single" w:color="auto" w:sz="4" w:space="0"/>
            </w:tcBorders>
            <w:noWrap w:val="0"/>
            <w:vAlign w:val="center"/>
          </w:tcPr>
          <w:p>
            <w:pPr>
              <w:spacing w:line="300" w:lineRule="exact"/>
              <w:rPr>
                <w:rFonts w:hint="eastAsia" w:ascii="宋体" w:hAnsi="宋体"/>
                <w:sz w:val="24"/>
              </w:rPr>
            </w:pPr>
          </w:p>
        </w:tc>
        <w:tc>
          <w:tcPr>
            <w:tcW w:w="1473" w:type="dxa"/>
            <w:noWrap w:val="0"/>
            <w:vAlign w:val="center"/>
          </w:tcPr>
          <w:p>
            <w:pPr>
              <w:spacing w:line="300" w:lineRule="exact"/>
              <w:rPr>
                <w:rFonts w:hint="eastAsia" w:ascii="宋体" w:hAnsi="宋体"/>
                <w:sz w:val="24"/>
              </w:rPr>
            </w:pPr>
          </w:p>
        </w:tc>
        <w:tc>
          <w:tcPr>
            <w:tcW w:w="833" w:type="dxa"/>
            <w:noWrap w:val="0"/>
            <w:vAlign w:val="top"/>
          </w:tcPr>
          <w:p>
            <w:pPr>
              <w:spacing w:line="30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rPr>
                <w:rFonts w:hint="eastAsia" w:ascii="宋体" w:hAnsi="宋体"/>
                <w:szCs w:val="21"/>
              </w:rPr>
            </w:pPr>
            <w:r>
              <w:rPr>
                <w:rFonts w:hint="eastAsia" w:ascii="宋体" w:hAnsi="宋体"/>
                <w:szCs w:val="21"/>
              </w:rPr>
              <w:t xml:space="preserve">... </w:t>
            </w:r>
          </w:p>
        </w:tc>
        <w:tc>
          <w:tcPr>
            <w:tcW w:w="2038" w:type="dxa"/>
            <w:tcBorders>
              <w:right w:val="single" w:color="auto" w:sz="4" w:space="0"/>
            </w:tcBorders>
            <w:shd w:val="clear" w:color="auto" w:fill="FFFFFF"/>
            <w:noWrap w:val="0"/>
            <w:vAlign w:val="center"/>
          </w:tcPr>
          <w:p>
            <w:pPr>
              <w:spacing w:line="360" w:lineRule="auto"/>
              <w:jc w:val="center"/>
              <w:textAlignment w:val="center"/>
              <w:rPr>
                <w:rFonts w:hint="eastAsia" w:ascii="宋体" w:hAnsi="宋体"/>
                <w:sz w:val="24"/>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sz w:val="24"/>
              </w:rPr>
            </w:pPr>
          </w:p>
        </w:tc>
        <w:tc>
          <w:tcPr>
            <w:tcW w:w="784" w:type="dxa"/>
            <w:shd w:val="clear" w:color="auto" w:fill="FFFFFF"/>
            <w:noWrap w:val="0"/>
            <w:vAlign w:val="center"/>
          </w:tcPr>
          <w:p>
            <w:pPr>
              <w:spacing w:line="360" w:lineRule="auto"/>
              <w:jc w:val="center"/>
              <w:rPr>
                <w:rFonts w:hint="eastAsia" w:ascii="宋体" w:hAnsi="宋体"/>
                <w:sz w:val="24"/>
              </w:rPr>
            </w:pPr>
          </w:p>
        </w:tc>
        <w:tc>
          <w:tcPr>
            <w:tcW w:w="856" w:type="dxa"/>
            <w:shd w:val="clear" w:color="auto" w:fill="FFFFFF"/>
            <w:noWrap w:val="0"/>
            <w:vAlign w:val="center"/>
          </w:tcPr>
          <w:p>
            <w:pPr>
              <w:spacing w:line="360" w:lineRule="auto"/>
              <w:jc w:val="center"/>
              <w:textAlignment w:val="center"/>
              <w:rPr>
                <w:rFonts w:hint="eastAsia" w:ascii="宋体" w:hAnsi="宋体"/>
                <w:sz w:val="24"/>
              </w:rPr>
            </w:pPr>
          </w:p>
        </w:tc>
        <w:tc>
          <w:tcPr>
            <w:tcW w:w="1344" w:type="dxa"/>
            <w:tcBorders>
              <w:left w:val="single" w:color="auto" w:sz="4" w:space="0"/>
            </w:tcBorders>
            <w:noWrap w:val="0"/>
            <w:vAlign w:val="center"/>
          </w:tcPr>
          <w:p>
            <w:pPr>
              <w:spacing w:line="300" w:lineRule="exact"/>
              <w:rPr>
                <w:rFonts w:hint="eastAsia" w:ascii="宋体" w:hAnsi="宋体"/>
                <w:sz w:val="24"/>
              </w:rPr>
            </w:pPr>
          </w:p>
        </w:tc>
        <w:tc>
          <w:tcPr>
            <w:tcW w:w="1473" w:type="dxa"/>
            <w:noWrap w:val="0"/>
            <w:vAlign w:val="center"/>
          </w:tcPr>
          <w:p>
            <w:pPr>
              <w:spacing w:line="300" w:lineRule="exact"/>
              <w:rPr>
                <w:rFonts w:hint="eastAsia" w:ascii="宋体" w:hAnsi="宋体"/>
                <w:sz w:val="24"/>
              </w:rPr>
            </w:pPr>
          </w:p>
        </w:tc>
        <w:tc>
          <w:tcPr>
            <w:tcW w:w="833" w:type="dxa"/>
            <w:noWrap w:val="0"/>
            <w:vAlign w:val="top"/>
          </w:tcPr>
          <w:p>
            <w:pPr>
              <w:spacing w:line="30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rPr>
                <w:rFonts w:ascii="宋体" w:hAnsi="宋体"/>
                <w:szCs w:val="21"/>
              </w:rPr>
            </w:pPr>
            <w:r>
              <w:rPr>
                <w:rFonts w:hint="eastAsia" w:ascii="宋体" w:hAnsi="宋体"/>
                <w:szCs w:val="21"/>
              </w:rPr>
              <w:t>N-1</w:t>
            </w:r>
          </w:p>
        </w:tc>
        <w:tc>
          <w:tcPr>
            <w:tcW w:w="2038" w:type="dxa"/>
            <w:tcBorders>
              <w:right w:val="single" w:color="auto" w:sz="4" w:space="0"/>
            </w:tcBorders>
            <w:shd w:val="clear" w:color="auto" w:fill="FFFFFF"/>
            <w:noWrap w:val="0"/>
            <w:vAlign w:val="center"/>
          </w:tcPr>
          <w:p>
            <w:pPr>
              <w:spacing w:line="360" w:lineRule="auto"/>
              <w:jc w:val="center"/>
              <w:textAlignment w:val="center"/>
              <w:rPr>
                <w:rFonts w:hint="eastAsia" w:ascii="宋体" w:hAnsi="宋体"/>
                <w:sz w:val="24"/>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sz w:val="24"/>
              </w:rPr>
            </w:pPr>
          </w:p>
        </w:tc>
        <w:tc>
          <w:tcPr>
            <w:tcW w:w="784" w:type="dxa"/>
            <w:shd w:val="clear" w:color="auto" w:fill="FFFFFF"/>
            <w:noWrap w:val="0"/>
            <w:vAlign w:val="center"/>
          </w:tcPr>
          <w:p>
            <w:pPr>
              <w:spacing w:line="360" w:lineRule="auto"/>
              <w:jc w:val="center"/>
              <w:rPr>
                <w:rFonts w:hint="eastAsia" w:ascii="宋体" w:hAnsi="宋体"/>
                <w:sz w:val="24"/>
              </w:rPr>
            </w:pPr>
          </w:p>
        </w:tc>
        <w:tc>
          <w:tcPr>
            <w:tcW w:w="856" w:type="dxa"/>
            <w:shd w:val="clear" w:color="auto" w:fill="FFFFFF"/>
            <w:noWrap w:val="0"/>
            <w:vAlign w:val="center"/>
          </w:tcPr>
          <w:p>
            <w:pPr>
              <w:spacing w:line="360" w:lineRule="auto"/>
              <w:jc w:val="center"/>
              <w:textAlignment w:val="center"/>
              <w:rPr>
                <w:rFonts w:hint="eastAsia" w:ascii="宋体" w:hAnsi="宋体"/>
                <w:sz w:val="24"/>
              </w:rPr>
            </w:pPr>
          </w:p>
        </w:tc>
        <w:tc>
          <w:tcPr>
            <w:tcW w:w="1344" w:type="dxa"/>
            <w:tcBorders>
              <w:left w:val="single" w:color="auto" w:sz="4" w:space="0"/>
            </w:tcBorders>
            <w:noWrap w:val="0"/>
            <w:vAlign w:val="center"/>
          </w:tcPr>
          <w:p>
            <w:pPr>
              <w:spacing w:line="300" w:lineRule="exact"/>
              <w:rPr>
                <w:rFonts w:hint="eastAsia" w:ascii="宋体" w:hAnsi="宋体"/>
                <w:sz w:val="24"/>
              </w:rPr>
            </w:pPr>
          </w:p>
        </w:tc>
        <w:tc>
          <w:tcPr>
            <w:tcW w:w="1473" w:type="dxa"/>
            <w:noWrap w:val="0"/>
            <w:vAlign w:val="center"/>
          </w:tcPr>
          <w:p>
            <w:pPr>
              <w:spacing w:line="300" w:lineRule="exact"/>
              <w:rPr>
                <w:rFonts w:hint="eastAsia" w:ascii="宋体" w:hAnsi="宋体"/>
                <w:sz w:val="24"/>
              </w:rPr>
            </w:pPr>
          </w:p>
        </w:tc>
        <w:tc>
          <w:tcPr>
            <w:tcW w:w="833" w:type="dxa"/>
            <w:noWrap w:val="0"/>
            <w:vAlign w:val="top"/>
          </w:tcPr>
          <w:p>
            <w:pPr>
              <w:spacing w:line="30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shd w:val="clear" w:color="auto" w:fill="auto"/>
            <w:noWrap w:val="0"/>
            <w:vAlign w:val="top"/>
          </w:tcPr>
          <w:p>
            <w:pPr>
              <w:rPr>
                <w:rFonts w:hint="eastAsia" w:ascii="宋体" w:hAnsi="宋体"/>
                <w:szCs w:val="21"/>
              </w:rPr>
            </w:pPr>
            <w:r>
              <w:rPr>
                <w:rFonts w:hint="eastAsia" w:ascii="宋体" w:hAnsi="宋体"/>
                <w:szCs w:val="21"/>
              </w:rPr>
              <w:t>N</w:t>
            </w:r>
          </w:p>
        </w:tc>
        <w:tc>
          <w:tcPr>
            <w:tcW w:w="2038" w:type="dxa"/>
            <w:tcBorders>
              <w:right w:val="single" w:color="auto" w:sz="4" w:space="0"/>
            </w:tcBorders>
            <w:shd w:val="clear" w:color="auto" w:fill="FFFFFF"/>
            <w:noWrap w:val="0"/>
            <w:vAlign w:val="center"/>
          </w:tcPr>
          <w:p>
            <w:pPr>
              <w:spacing w:line="360" w:lineRule="auto"/>
              <w:jc w:val="center"/>
              <w:textAlignment w:val="center"/>
              <w:rPr>
                <w:rFonts w:hint="eastAsia" w:ascii="宋体" w:hAnsi="宋体"/>
                <w:sz w:val="24"/>
              </w:rPr>
            </w:pPr>
          </w:p>
        </w:tc>
        <w:tc>
          <w:tcPr>
            <w:tcW w:w="1242" w:type="dxa"/>
            <w:tcBorders>
              <w:left w:val="single" w:color="auto" w:sz="4" w:space="0"/>
            </w:tcBorders>
            <w:shd w:val="clear" w:color="auto" w:fill="auto"/>
            <w:noWrap w:val="0"/>
            <w:vAlign w:val="center"/>
          </w:tcPr>
          <w:p>
            <w:pPr>
              <w:spacing w:line="300" w:lineRule="exact"/>
              <w:jc w:val="center"/>
              <w:rPr>
                <w:rFonts w:hint="eastAsia" w:ascii="宋体" w:hAnsi="宋体"/>
                <w:sz w:val="24"/>
              </w:rPr>
            </w:pPr>
          </w:p>
        </w:tc>
        <w:tc>
          <w:tcPr>
            <w:tcW w:w="784" w:type="dxa"/>
            <w:shd w:val="clear" w:color="auto" w:fill="FFFFFF"/>
            <w:noWrap w:val="0"/>
            <w:vAlign w:val="center"/>
          </w:tcPr>
          <w:p>
            <w:pPr>
              <w:spacing w:line="360" w:lineRule="auto"/>
              <w:jc w:val="center"/>
              <w:rPr>
                <w:rFonts w:hint="eastAsia" w:ascii="宋体" w:hAnsi="宋体"/>
                <w:sz w:val="24"/>
              </w:rPr>
            </w:pPr>
          </w:p>
        </w:tc>
        <w:tc>
          <w:tcPr>
            <w:tcW w:w="856" w:type="dxa"/>
            <w:shd w:val="clear" w:color="auto" w:fill="FFFFFF"/>
            <w:noWrap w:val="0"/>
            <w:vAlign w:val="center"/>
          </w:tcPr>
          <w:p>
            <w:pPr>
              <w:spacing w:line="360" w:lineRule="auto"/>
              <w:jc w:val="center"/>
              <w:textAlignment w:val="center"/>
              <w:rPr>
                <w:rFonts w:hint="eastAsia" w:ascii="宋体" w:hAnsi="宋体"/>
                <w:sz w:val="24"/>
              </w:rPr>
            </w:pPr>
          </w:p>
        </w:tc>
        <w:tc>
          <w:tcPr>
            <w:tcW w:w="1344" w:type="dxa"/>
            <w:tcBorders>
              <w:left w:val="single" w:color="auto" w:sz="4" w:space="0"/>
            </w:tcBorders>
            <w:noWrap w:val="0"/>
            <w:vAlign w:val="center"/>
          </w:tcPr>
          <w:p>
            <w:pPr>
              <w:spacing w:line="300" w:lineRule="exact"/>
              <w:rPr>
                <w:rFonts w:hint="eastAsia" w:ascii="宋体" w:hAnsi="宋体"/>
                <w:sz w:val="24"/>
              </w:rPr>
            </w:pPr>
          </w:p>
        </w:tc>
        <w:tc>
          <w:tcPr>
            <w:tcW w:w="1473" w:type="dxa"/>
            <w:noWrap w:val="0"/>
            <w:vAlign w:val="center"/>
          </w:tcPr>
          <w:p>
            <w:pPr>
              <w:spacing w:line="300" w:lineRule="exact"/>
              <w:rPr>
                <w:rFonts w:hint="eastAsia" w:ascii="宋体" w:hAnsi="宋体"/>
                <w:sz w:val="24"/>
              </w:rPr>
            </w:pPr>
          </w:p>
        </w:tc>
        <w:tc>
          <w:tcPr>
            <w:tcW w:w="833" w:type="dxa"/>
            <w:noWrap w:val="0"/>
            <w:vAlign w:val="top"/>
          </w:tcPr>
          <w:p>
            <w:pPr>
              <w:spacing w:line="300" w:lineRule="exac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13" w:type="dxa"/>
            <w:gridSpan w:val="8"/>
            <w:noWrap w:val="0"/>
            <w:vAlign w:val="top"/>
          </w:tcPr>
          <w:p>
            <w:pPr>
              <w:spacing w:line="300" w:lineRule="exact"/>
              <w:rPr>
                <w:rFonts w:hint="eastAsia" w:ascii="宋体" w:hAnsi="宋体"/>
                <w:sz w:val="24"/>
              </w:rPr>
            </w:pPr>
            <w:r>
              <w:rPr>
                <w:rFonts w:hint="eastAsia" w:ascii="宋体" w:hAnsi="宋体"/>
                <w:b/>
                <w:sz w:val="24"/>
              </w:rPr>
              <w:t>投标报价（序号1+2+..+N-1+N）：</w:t>
            </w:r>
            <w:r>
              <w:rPr>
                <w:rFonts w:hint="eastAsia" w:ascii="宋体" w:hAnsi="宋体"/>
                <w:b/>
                <w:sz w:val="24"/>
                <w:u w:val="single"/>
              </w:rPr>
              <w:t xml:space="preserve">               </w:t>
            </w:r>
            <w:r>
              <w:rPr>
                <w:rFonts w:hint="eastAsia" w:ascii="宋体" w:hAnsi="宋体"/>
                <w:b/>
                <w:sz w:val="24"/>
              </w:rPr>
              <w:t>元；小写：</w:t>
            </w:r>
            <w:r>
              <w:rPr>
                <w:rFonts w:hint="eastAsia" w:ascii="宋体" w:hAnsi="宋体"/>
                <w:b/>
                <w:sz w:val="24"/>
                <w:u w:val="single"/>
              </w:rPr>
              <w:t xml:space="preserve">         </w:t>
            </w:r>
            <w:r>
              <w:rPr>
                <w:rFonts w:hint="eastAsia" w:ascii="宋体" w:hAnsi="宋体"/>
                <w:b/>
                <w:sz w:val="24"/>
              </w:rPr>
              <w:t xml:space="preserve"> 元；（填入投标函和开标一览表）</w:t>
            </w:r>
          </w:p>
        </w:tc>
      </w:tr>
    </w:tbl>
    <w:p>
      <w:pPr>
        <w:spacing w:line="400" w:lineRule="exact"/>
        <w:rPr>
          <w:rFonts w:hint="eastAsia" w:ascii="宋体" w:hAnsi="宋体" w:cs="宋体"/>
          <w:b/>
          <w:szCs w:val="21"/>
        </w:rPr>
      </w:pPr>
      <w:r>
        <w:rPr>
          <w:rFonts w:hint="eastAsia" w:ascii="宋体" w:hAnsi="宋体" w:cs="宋体"/>
          <w:szCs w:val="21"/>
          <w:lang w:val="zh-CN"/>
        </w:rPr>
        <w:t>注：1.所有报价只能选择一种方案，单价和合价的报价只能是唯一，且须列出详细的分项报价</w:t>
      </w:r>
      <w:r>
        <w:rPr>
          <w:rFonts w:hint="eastAsia" w:ascii="宋体" w:hAnsi="宋体" w:cs="宋体"/>
          <w:b/>
          <w:szCs w:val="21"/>
        </w:rPr>
        <w:t>（与采购清单项相一致且相同清单的单价单价必须一致，不得缺项，否则视同包含在其他项目）</w:t>
      </w:r>
      <w:r>
        <w:rPr>
          <w:rFonts w:hint="eastAsia" w:ascii="宋体" w:hAnsi="宋体" w:cs="宋体"/>
          <w:szCs w:val="21"/>
          <w:lang w:val="zh-CN"/>
        </w:rPr>
        <w:t>。</w:t>
      </w:r>
      <w:r>
        <w:rPr>
          <w:rFonts w:hint="eastAsia" w:ascii="宋体" w:hAnsi="宋体" w:cs="宋体"/>
          <w:b/>
          <w:szCs w:val="21"/>
        </w:rPr>
        <w:t>表格格式可扩展。</w:t>
      </w:r>
    </w:p>
    <w:p>
      <w:pPr>
        <w:spacing w:line="400" w:lineRule="exact"/>
        <w:rPr>
          <w:rFonts w:hint="eastAsia" w:ascii="宋体" w:hAnsi="宋体" w:cs="宋体"/>
          <w:szCs w:val="21"/>
          <w:lang w:val="zh-CN"/>
        </w:rPr>
      </w:pPr>
      <w:r>
        <w:rPr>
          <w:rFonts w:hint="eastAsia" w:ascii="宋体" w:hAnsi="宋体" w:cs="宋体"/>
          <w:szCs w:val="21"/>
          <w:lang w:val="zh-CN"/>
        </w:rPr>
        <w:t>2.投标报价采用综合单价法，</w:t>
      </w:r>
      <w:r>
        <w:rPr>
          <w:rFonts w:hint="eastAsia" w:ascii="宋体" w:hAnsi="宋体" w:cs="宋体"/>
          <w:szCs w:val="21"/>
        </w:rPr>
        <w:t>综合单价为全费用综合单价，综合单价包括但不限于为完成项目全部内容所发生的：各项服务（货物）的成本、采购、税费、包装、加工及加工损耗、运输、现场落地、安装及安装损耗、安装辅材、调试、培训，项目检测验收，招标代理费，专家评审费和交付后约定期限内免费维保等工作所发生的一切应有费用及国家对中标单位征收的各种税费等所有一切费用，综合单价今后将不作任何调整</w:t>
      </w:r>
      <w:r>
        <w:rPr>
          <w:rFonts w:hint="eastAsia" w:ascii="宋体" w:hAnsi="宋体" w:cs="宋体"/>
          <w:szCs w:val="21"/>
          <w:lang w:val="zh-CN"/>
        </w:rPr>
        <w:t>。</w:t>
      </w:r>
    </w:p>
    <w:p>
      <w:pPr>
        <w:spacing w:line="360" w:lineRule="auto"/>
        <w:rPr>
          <w:rFonts w:hint="eastAsia" w:ascii="宋体" w:hAnsi="宋体" w:cs="宋体"/>
          <w:sz w:val="24"/>
        </w:rPr>
      </w:pPr>
    </w:p>
    <w:p>
      <w:pPr>
        <w:rPr>
          <w:rFonts w:hint="eastAsia" w:ascii="宋体"/>
          <w:color w:val="000000"/>
          <w:sz w:val="24"/>
        </w:rPr>
      </w:pPr>
      <w:r>
        <w:rPr>
          <w:rFonts w:hint="eastAsia" w:ascii="宋体"/>
          <w:color w:val="000000"/>
          <w:sz w:val="24"/>
        </w:rPr>
        <w:t>法定代表人或委托代理人（签字或盖章）：         供应商（盖公章）：</w:t>
      </w:r>
    </w:p>
    <w:p>
      <w:pPr>
        <w:snapToGrid w:val="0"/>
        <w:spacing w:before="240" w:beforeLines="100" w:after="240" w:afterLines="100" w:line="360" w:lineRule="auto"/>
        <w:jc w:val="center"/>
        <w:rPr>
          <w:rFonts w:hint="eastAsia" w:ascii="宋体"/>
          <w:color w:val="000000"/>
          <w:sz w:val="24"/>
        </w:rPr>
      </w:pPr>
      <w:r>
        <w:rPr>
          <w:rFonts w:hint="eastAsia" w:ascii="宋体"/>
          <w:color w:val="000000"/>
          <w:sz w:val="24"/>
        </w:rPr>
        <w:t xml:space="preserve">                                      日  期：</w:t>
      </w:r>
      <w:r>
        <w:rPr>
          <w:rFonts w:hint="eastAsia" w:ascii="宋体" w:hAnsi="宋体"/>
          <w:color w:val="000000"/>
          <w:sz w:val="24"/>
          <w:u w:val="single"/>
        </w:rPr>
        <w:t xml:space="preserve">      </w:t>
      </w:r>
      <w:r>
        <w:rPr>
          <w:rFonts w:hint="eastAsia" w:ascii="宋体"/>
          <w:color w:val="000000"/>
          <w:sz w:val="24"/>
        </w:rPr>
        <w:t>年</w:t>
      </w:r>
      <w:r>
        <w:rPr>
          <w:rFonts w:hint="eastAsia" w:ascii="宋体" w:hAnsi="宋体"/>
          <w:color w:val="000000"/>
          <w:sz w:val="24"/>
          <w:u w:val="single"/>
        </w:rPr>
        <w:t xml:space="preserve">   </w:t>
      </w:r>
      <w:r>
        <w:rPr>
          <w:rFonts w:hint="eastAsia" w:ascii="宋体"/>
          <w:color w:val="000000"/>
          <w:sz w:val="24"/>
        </w:rPr>
        <w:t>月</w:t>
      </w:r>
      <w:r>
        <w:rPr>
          <w:rFonts w:hint="eastAsia" w:ascii="宋体" w:hAnsi="宋体"/>
          <w:color w:val="000000"/>
          <w:sz w:val="24"/>
          <w:u w:val="single"/>
        </w:rPr>
        <w:t xml:space="preserve">   </w:t>
      </w:r>
      <w:r>
        <w:rPr>
          <w:rFonts w:hint="eastAsia" w:ascii="宋体"/>
          <w:color w:val="000000"/>
          <w:sz w:val="24"/>
        </w:rPr>
        <w:t>日</w:t>
      </w:r>
    </w:p>
    <w:p>
      <w:pPr>
        <w:rPr>
          <w:rFonts w:hint="eastAsia" w:ascii="宋体" w:hAnsi="宋体" w:eastAsia="宋体" w:cs="宋体"/>
          <w:color w:val="auto"/>
          <w:sz w:val="20"/>
          <w:szCs w:val="22"/>
        </w:rPr>
      </w:pPr>
    </w:p>
    <w:bookmarkEnd w:id="218"/>
    <w:p>
      <w:pPr>
        <w:rPr>
          <w:rFonts w:hint="eastAsia" w:ascii="宋体" w:hAnsi="宋体" w:eastAsia="宋体" w:cs="宋体"/>
          <w:b/>
          <w:color w:val="auto"/>
          <w:sz w:val="28"/>
          <w:szCs w:val="28"/>
        </w:rPr>
      </w:pPr>
      <w:bookmarkStart w:id="233" w:name="_Toc13679"/>
      <w:r>
        <w:rPr>
          <w:rFonts w:hint="eastAsia" w:ascii="宋体" w:hAnsi="宋体" w:eastAsia="宋体" w:cs="宋体"/>
          <w:b/>
          <w:color w:val="auto"/>
          <w:sz w:val="28"/>
          <w:szCs w:val="28"/>
        </w:rPr>
        <w:br w:type="page"/>
      </w:r>
    </w:p>
    <w:p>
      <w:pP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第七章  招标单位、招标代理机构对本交易文件的确认</w:t>
      </w:r>
      <w:bookmarkEnd w:id="233"/>
    </w:p>
    <w:p>
      <w:pPr>
        <w:spacing w:line="440" w:lineRule="exact"/>
        <w:rPr>
          <w:rFonts w:hint="eastAsia" w:ascii="宋体" w:hAnsi="宋体" w:eastAsia="宋体" w:cs="宋体"/>
          <w:color w:val="auto"/>
          <w:sz w:val="22"/>
          <w:szCs w:val="22"/>
          <w:u w:val="single"/>
        </w:rPr>
      </w:pPr>
    </w:p>
    <w:tbl>
      <w:tblPr>
        <w:tblStyle w:val="34"/>
        <w:tblW w:w="8928" w:type="dxa"/>
        <w:jc w:val="center"/>
        <w:tblLayout w:type="fixed"/>
        <w:tblCellMar>
          <w:top w:w="0" w:type="dxa"/>
          <w:left w:w="108" w:type="dxa"/>
          <w:bottom w:w="0" w:type="dxa"/>
          <w:right w:w="108" w:type="dxa"/>
        </w:tblCellMar>
      </w:tblPr>
      <w:tblGrid>
        <w:gridCol w:w="8928"/>
      </w:tblGrid>
      <w:tr>
        <w:tblPrEx>
          <w:tblCellMar>
            <w:top w:w="0" w:type="dxa"/>
            <w:left w:w="108" w:type="dxa"/>
            <w:bottom w:w="0" w:type="dxa"/>
            <w:right w:w="108" w:type="dxa"/>
          </w:tblCellMar>
        </w:tblPrEx>
        <w:trPr>
          <w:trHeight w:val="6646" w:hRule="atLeast"/>
          <w:jc w:val="center"/>
        </w:trPr>
        <w:tc>
          <w:tcPr>
            <w:tcW w:w="8928" w:type="dxa"/>
            <w:tcBorders>
              <w:top w:val="single" w:color="auto" w:sz="4" w:space="0"/>
              <w:left w:val="single" w:color="auto" w:sz="4" w:space="0"/>
              <w:bottom w:val="single" w:color="auto" w:sz="4" w:space="0"/>
              <w:right w:val="single" w:color="auto" w:sz="4" w:space="0"/>
            </w:tcBorders>
            <w:noWrap/>
          </w:tcPr>
          <w:p>
            <w:pPr>
              <w:spacing w:line="440" w:lineRule="exact"/>
              <w:ind w:firstLine="480" w:firstLineChars="200"/>
              <w:rPr>
                <w:rFonts w:hint="eastAsia" w:ascii="宋体" w:hAnsi="宋体" w:eastAsia="宋体" w:cs="宋体"/>
                <w:color w:val="auto"/>
                <w:sz w:val="24"/>
                <w:szCs w:val="24"/>
              </w:rPr>
            </w:pP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我单位对</w:t>
            </w:r>
            <w:r>
              <w:rPr>
                <w:rFonts w:hint="eastAsia" w:ascii="宋体" w:hAnsi="宋体" w:cs="宋体"/>
                <w:color w:val="auto"/>
                <w:sz w:val="24"/>
                <w:szCs w:val="24"/>
                <w:u w:val="single"/>
                <w:lang w:eastAsia="zh-CN"/>
              </w:rPr>
              <w:t>滁州市科技馆暑期前沿科技公益科普课（青少年人工智能）项目</w:t>
            </w:r>
            <w:r>
              <w:rPr>
                <w:rFonts w:hint="eastAsia" w:ascii="宋体" w:hAnsi="宋体" w:eastAsia="宋体" w:cs="宋体"/>
                <w:color w:val="auto"/>
                <w:sz w:val="24"/>
                <w:szCs w:val="24"/>
              </w:rPr>
              <w:t>的交易文件进行确认。</w:t>
            </w:r>
          </w:p>
          <w:p>
            <w:pPr>
              <w:pStyle w:val="2"/>
              <w:rPr>
                <w:rFonts w:hint="eastAsia" w:ascii="宋体" w:hAnsi="宋体" w:eastAsia="宋体" w:cs="宋体"/>
                <w:sz w:val="20"/>
                <w:szCs w:val="22"/>
              </w:rPr>
            </w:pPr>
          </w:p>
          <w:p>
            <w:pPr>
              <w:spacing w:line="5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招标人：</w:t>
            </w:r>
            <w:r>
              <w:rPr>
                <w:rFonts w:hint="eastAsia" w:ascii="宋体" w:hAnsi="宋体" w:eastAsia="宋体" w:cs="宋体"/>
                <w:color w:val="auto"/>
                <w:sz w:val="24"/>
                <w:szCs w:val="24"/>
                <w:lang w:eastAsia="zh-CN"/>
              </w:rPr>
              <w:t>滁州市科学技术馆</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张工</w:t>
            </w:r>
          </w:p>
          <w:p>
            <w:pPr>
              <w:spacing w:line="5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0550-3062150</w:t>
            </w:r>
          </w:p>
          <w:p>
            <w:pPr>
              <w:pStyle w:val="2"/>
              <w:rPr>
                <w:rFonts w:hint="eastAsia" w:ascii="宋体" w:hAnsi="宋体" w:eastAsia="宋体" w:cs="宋体"/>
                <w:color w:val="auto"/>
                <w:sz w:val="24"/>
                <w:szCs w:val="24"/>
                <w:lang w:val="en-US" w:eastAsia="zh-CN"/>
              </w:rPr>
            </w:pPr>
          </w:p>
          <w:p>
            <w:pPr>
              <w:rPr>
                <w:rFonts w:hint="eastAsia" w:ascii="宋体" w:hAnsi="宋体" w:eastAsia="宋体" w:cs="宋体"/>
                <w:sz w:val="20"/>
                <w:szCs w:val="22"/>
              </w:rPr>
            </w:pPr>
          </w:p>
          <w:p>
            <w:pPr>
              <w:spacing w:line="540" w:lineRule="exact"/>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rPr>
              <w:t>（单位盖章）</w:t>
            </w:r>
          </w:p>
          <w:p>
            <w:pPr>
              <w:spacing w:line="540" w:lineRule="exact"/>
              <w:ind w:firstLine="5400" w:firstLineChars="2250"/>
              <w:rPr>
                <w:rFonts w:hint="eastAsia" w:ascii="宋体" w:hAnsi="宋体" w:eastAsia="宋体" w:cs="宋体"/>
                <w:color w:val="auto"/>
                <w:sz w:val="24"/>
                <w:szCs w:val="24"/>
              </w:rPr>
            </w:pPr>
          </w:p>
          <w:p>
            <w:pPr>
              <w:spacing w:line="540" w:lineRule="exact"/>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p>
        </w:tc>
      </w:tr>
      <w:tr>
        <w:tblPrEx>
          <w:tblCellMar>
            <w:top w:w="0" w:type="dxa"/>
            <w:left w:w="108" w:type="dxa"/>
            <w:bottom w:w="0" w:type="dxa"/>
            <w:right w:w="108" w:type="dxa"/>
          </w:tblCellMar>
        </w:tblPrEx>
        <w:trPr>
          <w:trHeight w:val="5539" w:hRule="atLeast"/>
          <w:jc w:val="center"/>
        </w:trPr>
        <w:tc>
          <w:tcPr>
            <w:tcW w:w="8928" w:type="dxa"/>
            <w:tcBorders>
              <w:top w:val="single" w:color="auto" w:sz="4" w:space="0"/>
              <w:left w:val="single" w:color="auto" w:sz="4" w:space="0"/>
              <w:bottom w:val="single" w:color="auto" w:sz="4" w:space="0"/>
              <w:right w:val="single" w:color="auto" w:sz="4" w:space="0"/>
            </w:tcBorders>
            <w:noWrap/>
          </w:tcPr>
          <w:p>
            <w:pPr>
              <w:spacing w:line="440" w:lineRule="exact"/>
              <w:rPr>
                <w:rFonts w:hint="eastAsia" w:ascii="宋体" w:hAnsi="宋体" w:eastAsia="宋体" w:cs="宋体"/>
                <w:color w:val="auto"/>
                <w:sz w:val="24"/>
                <w:szCs w:val="24"/>
              </w:rPr>
            </w:pPr>
          </w:p>
          <w:p>
            <w:pPr>
              <w:spacing w:line="5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安徽凯泰工程项目管理有限公司</w:t>
            </w:r>
          </w:p>
          <w:p>
            <w:pPr>
              <w:spacing w:line="5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经办人：</w:t>
            </w:r>
            <w:r>
              <w:rPr>
                <w:rFonts w:hint="eastAsia" w:ascii="宋体" w:hAnsi="宋体" w:eastAsia="宋体" w:cs="宋体"/>
                <w:color w:val="auto"/>
                <w:sz w:val="24"/>
                <w:szCs w:val="24"/>
                <w:lang w:eastAsia="zh-CN"/>
              </w:rPr>
              <w:t>徐艳</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18155093151</w:t>
            </w:r>
          </w:p>
          <w:p>
            <w:pPr>
              <w:spacing w:line="520" w:lineRule="exact"/>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sz w:val="20"/>
                <w:szCs w:val="22"/>
              </w:rPr>
            </w:pPr>
          </w:p>
          <w:p>
            <w:pPr>
              <w:spacing w:line="520" w:lineRule="exact"/>
              <w:ind w:firstLine="5640" w:firstLineChars="2350"/>
              <w:rPr>
                <w:rFonts w:hint="eastAsia" w:ascii="宋体" w:hAnsi="宋体" w:eastAsia="宋体" w:cs="宋体"/>
                <w:color w:val="auto"/>
                <w:sz w:val="24"/>
                <w:szCs w:val="24"/>
              </w:rPr>
            </w:pPr>
            <w:r>
              <w:rPr>
                <w:rFonts w:hint="eastAsia" w:ascii="宋体" w:hAnsi="宋体" w:eastAsia="宋体" w:cs="宋体"/>
                <w:color w:val="auto"/>
                <w:sz w:val="24"/>
                <w:szCs w:val="24"/>
              </w:rPr>
              <w:t>（单位盖章）</w:t>
            </w:r>
          </w:p>
          <w:p>
            <w:pPr>
              <w:spacing w:line="520" w:lineRule="exact"/>
              <w:ind w:firstLine="5400" w:firstLineChars="225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540" w:lineRule="exact"/>
              <w:ind w:firstLine="5640" w:firstLineChars="23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年0</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p>
        </w:tc>
      </w:tr>
    </w:tbl>
    <w:p>
      <w:pPr>
        <w:rPr>
          <w:rFonts w:hint="eastAsia" w:ascii="宋体" w:hAnsi="宋体" w:eastAsia="宋体" w:cs="宋体"/>
          <w:color w:val="auto"/>
          <w:sz w:val="20"/>
          <w:szCs w:val="22"/>
        </w:rPr>
      </w:pPr>
    </w:p>
    <w:p>
      <w:pPr>
        <w:pStyle w:val="19"/>
        <w:rPr>
          <w:rFonts w:hint="eastAsia" w:ascii="宋体" w:hAnsi="宋体" w:eastAsia="宋体" w:cs="宋体"/>
          <w:color w:val="auto"/>
          <w:sz w:val="20"/>
          <w:szCs w:val="22"/>
        </w:rPr>
      </w:pPr>
    </w:p>
    <w:p>
      <w:pPr>
        <w:rPr>
          <w:rFonts w:hint="eastAsia" w:ascii="宋体" w:hAnsi="宋体" w:eastAsia="宋体" w:cs="宋体"/>
          <w:b/>
          <w:color w:val="auto"/>
          <w:sz w:val="22"/>
          <w:szCs w:val="22"/>
        </w:rPr>
      </w:pPr>
      <w:bookmarkStart w:id="234" w:name="_Toc29294"/>
    </w:p>
    <w:p>
      <w:pPr>
        <w:spacing w:line="400" w:lineRule="exact"/>
        <w:outlineLvl w:val="0"/>
        <w:rPr>
          <w:rFonts w:hint="eastAsia" w:ascii="宋体" w:hAnsi="宋体" w:eastAsia="宋体" w:cs="宋体"/>
          <w:color w:val="auto"/>
          <w:sz w:val="22"/>
          <w:szCs w:val="22"/>
        </w:rPr>
      </w:pPr>
      <w:r>
        <w:rPr>
          <w:rFonts w:hint="eastAsia" w:ascii="宋体" w:hAnsi="宋体" w:eastAsia="宋体" w:cs="宋体"/>
          <w:b/>
          <w:color w:val="auto"/>
          <w:sz w:val="22"/>
          <w:szCs w:val="22"/>
        </w:rPr>
        <w:t>附件1</w:t>
      </w:r>
      <w:bookmarkEnd w:id="234"/>
    </w:p>
    <w:p>
      <w:pPr>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关于联合惩戒失信行为加强信用查询管理的通知</w:t>
      </w:r>
    </w:p>
    <w:p>
      <w:pPr>
        <w:spacing w:line="40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一、失信行为联合惩戒的范围和查询渠道</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在我市公共资源交易活动中对存在下列失信行为的投标人、法定代表人及其项目负责人实施联合惩戒，禁止参与我市公共资源交易活动。</w:t>
      </w:r>
    </w:p>
    <w:p>
      <w:pPr>
        <w:spacing w:line="40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（一）工程建设项目</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1、“信用中国”网站（www.creditchina.gov.cn）查询以下失信行为：</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①投标人被人民法院列入失信被执行人的；</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②投标人被税收部门列入重大税收违法案件当事人的；</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③在“信用中国”网站上披露的仍在公示期的严重失信行为的。</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2、国家企业信用信息公示系统网站（</w:t>
      </w:r>
      <w:r>
        <w:rPr>
          <w:rFonts w:hint="eastAsia" w:ascii="宋体" w:hAnsi="宋体" w:eastAsia="宋体" w:cs="宋体"/>
          <w:color w:val="auto"/>
          <w:sz w:val="20"/>
          <w:szCs w:val="22"/>
        </w:rPr>
        <w:fldChar w:fldCharType="begin"/>
      </w:r>
      <w:r>
        <w:rPr>
          <w:rFonts w:hint="eastAsia" w:ascii="宋体" w:hAnsi="宋体" w:eastAsia="宋体" w:cs="宋体"/>
          <w:color w:val="auto"/>
          <w:sz w:val="20"/>
          <w:szCs w:val="22"/>
        </w:rPr>
        <w:instrText xml:space="preserve"> HYPERLINK "http://www.gsxt.gov.cn）查询" </w:instrText>
      </w:r>
      <w:r>
        <w:rPr>
          <w:rFonts w:hint="eastAsia" w:ascii="宋体" w:hAnsi="宋体" w:eastAsia="宋体" w:cs="宋体"/>
          <w:color w:val="auto"/>
          <w:sz w:val="20"/>
          <w:szCs w:val="22"/>
        </w:rPr>
        <w:fldChar w:fldCharType="separate"/>
      </w:r>
      <w:r>
        <w:rPr>
          <w:rFonts w:hint="eastAsia" w:ascii="宋体" w:hAnsi="宋体" w:eastAsia="宋体" w:cs="宋体"/>
          <w:color w:val="auto"/>
          <w:sz w:val="22"/>
          <w:szCs w:val="22"/>
        </w:rPr>
        <w:t>www.gsxt.gov.cn）</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查询以下失信行为：</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①被市场监督管理部门列入经营异常名录或者严重违法企业名单的。</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3、滁州市公共资源交易中心网（</w:t>
      </w:r>
      <w:r>
        <w:rPr>
          <w:rFonts w:hint="eastAsia" w:ascii="宋体" w:hAnsi="宋体" w:eastAsia="宋体" w:cs="宋体"/>
          <w:color w:val="auto"/>
          <w:sz w:val="20"/>
          <w:szCs w:val="22"/>
        </w:rPr>
        <w:fldChar w:fldCharType="begin"/>
      </w:r>
      <w:r>
        <w:rPr>
          <w:rFonts w:hint="eastAsia" w:ascii="宋体" w:hAnsi="宋体" w:eastAsia="宋体" w:cs="宋体"/>
          <w:color w:val="auto"/>
          <w:sz w:val="20"/>
          <w:szCs w:val="22"/>
        </w:rPr>
        <w:instrText xml:space="preserve"> HYPERLINK "http://ggzy.chuzhou.gov.cn/Front_jyzx/" </w:instrText>
      </w:r>
      <w:r>
        <w:rPr>
          <w:rFonts w:hint="eastAsia" w:ascii="宋体" w:hAnsi="宋体" w:eastAsia="宋体" w:cs="宋体"/>
          <w:color w:val="auto"/>
          <w:sz w:val="20"/>
          <w:szCs w:val="22"/>
        </w:rPr>
        <w:fldChar w:fldCharType="separate"/>
      </w:r>
      <w:r>
        <w:rPr>
          <w:rStyle w:val="45"/>
          <w:rFonts w:hint="eastAsia" w:ascii="宋体" w:hAnsi="宋体" w:eastAsia="宋体" w:cs="宋体"/>
          <w:color w:val="auto"/>
          <w:sz w:val="22"/>
          <w:szCs w:val="22"/>
        </w:rPr>
        <w:t>http://ggzy.chuzhou.gov.cn/Front_jyzx/</w:t>
      </w:r>
      <w:r>
        <w:rPr>
          <w:rStyle w:val="45"/>
          <w:rFonts w:hint="eastAsia" w:ascii="宋体" w:hAnsi="宋体" w:eastAsia="宋体" w:cs="宋体"/>
          <w:color w:val="auto"/>
          <w:sz w:val="22"/>
          <w:szCs w:val="22"/>
        </w:rPr>
        <w:fldChar w:fldCharType="end"/>
      </w:r>
      <w:r>
        <w:rPr>
          <w:rFonts w:hint="eastAsia" w:ascii="宋体" w:hAnsi="宋体" w:eastAsia="宋体" w:cs="宋体"/>
          <w:color w:val="auto"/>
          <w:sz w:val="22"/>
          <w:szCs w:val="22"/>
        </w:rPr>
        <w:t>）查询以下失信行为：</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①被滁州市县公管部门限制投标且在限制期内的；</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②被滁州市县公管部门记信用信息记录仍在披露期的。</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4、由竞争主体进行承诺，不进行现场网上信用查询的失信行为：</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①近三年列入行贿犯罪档案的单位和个人；</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②被滁州市各行业主管部门限制投标且在限制期内的。</w:t>
      </w:r>
    </w:p>
    <w:p>
      <w:pPr>
        <w:spacing w:line="40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（二）政府采购项目</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1、“信用中国”网站（www.creditchina.gov.cn）查询以下失信行为：</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①投标人被人民法院列入失信被执行人的；</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②投标人被税收部门列入重大税收违法案件当事人的；</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③在“信用中国”网站上披露的仍在公示期的严重失信行为的。</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2、国家企业信用信息公示系统网站（</w:t>
      </w:r>
      <w:r>
        <w:rPr>
          <w:rFonts w:hint="eastAsia" w:ascii="宋体" w:hAnsi="宋体" w:eastAsia="宋体" w:cs="宋体"/>
          <w:color w:val="auto"/>
          <w:sz w:val="20"/>
          <w:szCs w:val="22"/>
        </w:rPr>
        <w:fldChar w:fldCharType="begin"/>
      </w:r>
      <w:r>
        <w:rPr>
          <w:rFonts w:hint="eastAsia" w:ascii="宋体" w:hAnsi="宋体" w:eastAsia="宋体" w:cs="宋体"/>
          <w:color w:val="auto"/>
          <w:sz w:val="20"/>
          <w:szCs w:val="22"/>
        </w:rPr>
        <w:instrText xml:space="preserve"> HYPERLINK "http://www.gsxt.gov.cn）查询" </w:instrText>
      </w:r>
      <w:r>
        <w:rPr>
          <w:rFonts w:hint="eastAsia" w:ascii="宋体" w:hAnsi="宋体" w:eastAsia="宋体" w:cs="宋体"/>
          <w:color w:val="auto"/>
          <w:sz w:val="20"/>
          <w:szCs w:val="22"/>
        </w:rPr>
        <w:fldChar w:fldCharType="separate"/>
      </w:r>
      <w:r>
        <w:rPr>
          <w:rFonts w:hint="eastAsia" w:ascii="宋体" w:hAnsi="宋体" w:eastAsia="宋体" w:cs="宋体"/>
          <w:color w:val="auto"/>
          <w:sz w:val="22"/>
          <w:szCs w:val="22"/>
        </w:rPr>
        <w:t>www.gsxt.gov.cn）</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查询以下失信行为：</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①被市场监督管理部门列入经营异常名录或者严重违法企业名单的。</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3、中国政府采购网站（</w:t>
      </w:r>
      <w:r>
        <w:rPr>
          <w:rFonts w:hint="eastAsia" w:ascii="宋体" w:hAnsi="宋体" w:eastAsia="宋体" w:cs="宋体"/>
          <w:color w:val="auto"/>
          <w:sz w:val="20"/>
          <w:szCs w:val="22"/>
        </w:rPr>
        <w:fldChar w:fldCharType="begin"/>
      </w:r>
      <w:r>
        <w:rPr>
          <w:rFonts w:hint="eastAsia" w:ascii="宋体" w:hAnsi="宋体" w:eastAsia="宋体" w:cs="宋体"/>
          <w:color w:val="auto"/>
          <w:sz w:val="20"/>
          <w:szCs w:val="22"/>
        </w:rPr>
        <w:instrText xml:space="preserve"> HYPERLINK "http://www.ccgp.gov.cn" </w:instrText>
      </w:r>
      <w:r>
        <w:rPr>
          <w:rFonts w:hint="eastAsia" w:ascii="宋体" w:hAnsi="宋体" w:eastAsia="宋体" w:cs="宋体"/>
          <w:color w:val="auto"/>
          <w:sz w:val="20"/>
          <w:szCs w:val="22"/>
        </w:rPr>
        <w:fldChar w:fldCharType="separate"/>
      </w:r>
      <w:r>
        <w:rPr>
          <w:rStyle w:val="45"/>
          <w:rFonts w:hint="eastAsia" w:ascii="宋体" w:hAnsi="宋体" w:eastAsia="宋体" w:cs="宋体"/>
          <w:color w:val="auto"/>
          <w:sz w:val="22"/>
          <w:szCs w:val="22"/>
        </w:rPr>
        <w:t>www.ccgp.gov.cn</w:t>
      </w:r>
      <w:r>
        <w:rPr>
          <w:rStyle w:val="45"/>
          <w:rFonts w:hint="eastAsia" w:ascii="宋体" w:hAnsi="宋体" w:eastAsia="宋体" w:cs="宋体"/>
          <w:color w:val="auto"/>
          <w:sz w:val="22"/>
          <w:szCs w:val="22"/>
        </w:rPr>
        <w:fldChar w:fldCharType="end"/>
      </w:r>
      <w:r>
        <w:rPr>
          <w:rFonts w:hint="eastAsia" w:ascii="宋体" w:hAnsi="宋体" w:eastAsia="宋体" w:cs="宋体"/>
          <w:color w:val="auto"/>
          <w:sz w:val="22"/>
          <w:szCs w:val="22"/>
        </w:rPr>
        <w:t>）查询以下失信行为：</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①政府采购严重违法失信行为</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4、滁州市公共资源交易中心网（</w:t>
      </w:r>
      <w:r>
        <w:rPr>
          <w:rFonts w:hint="eastAsia" w:ascii="宋体" w:hAnsi="宋体" w:eastAsia="宋体" w:cs="宋体"/>
          <w:color w:val="auto"/>
          <w:sz w:val="20"/>
          <w:szCs w:val="22"/>
        </w:rPr>
        <w:fldChar w:fldCharType="begin"/>
      </w:r>
      <w:r>
        <w:rPr>
          <w:rFonts w:hint="eastAsia" w:ascii="宋体" w:hAnsi="宋体" w:eastAsia="宋体" w:cs="宋体"/>
          <w:color w:val="auto"/>
          <w:sz w:val="20"/>
          <w:szCs w:val="22"/>
        </w:rPr>
        <w:instrText xml:space="preserve"> HYPERLINK "http://ggzy.chuzhou.gov.cn/Front_jyzx/" </w:instrText>
      </w:r>
      <w:r>
        <w:rPr>
          <w:rFonts w:hint="eastAsia" w:ascii="宋体" w:hAnsi="宋体" w:eastAsia="宋体" w:cs="宋体"/>
          <w:color w:val="auto"/>
          <w:sz w:val="20"/>
          <w:szCs w:val="22"/>
        </w:rPr>
        <w:fldChar w:fldCharType="separate"/>
      </w:r>
      <w:r>
        <w:rPr>
          <w:rStyle w:val="45"/>
          <w:rFonts w:hint="eastAsia" w:ascii="宋体" w:hAnsi="宋体" w:eastAsia="宋体" w:cs="宋体"/>
          <w:color w:val="auto"/>
          <w:sz w:val="22"/>
          <w:szCs w:val="22"/>
        </w:rPr>
        <w:t>http://ggzy.chuzhou.gov.cn/Front_jyzx/</w:t>
      </w:r>
      <w:r>
        <w:rPr>
          <w:rStyle w:val="45"/>
          <w:rFonts w:hint="eastAsia" w:ascii="宋体" w:hAnsi="宋体" w:eastAsia="宋体" w:cs="宋体"/>
          <w:color w:val="auto"/>
          <w:sz w:val="22"/>
          <w:szCs w:val="22"/>
        </w:rPr>
        <w:fldChar w:fldCharType="end"/>
      </w:r>
      <w:r>
        <w:rPr>
          <w:rFonts w:hint="eastAsia" w:ascii="宋体" w:hAnsi="宋体" w:eastAsia="宋体" w:cs="宋体"/>
          <w:color w:val="auto"/>
          <w:sz w:val="22"/>
          <w:szCs w:val="22"/>
        </w:rPr>
        <w:t>）查询以下失信行为：</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①被滁州市县公管部门限制投标且在限制期内的；</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②被滁州市县公管部门记信用信息记录仍在披露期的。</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5、由竞争主体进行承诺，不进行现场网上信用查询的失信行为：</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①近三年列入行贿犯罪档案的单位和个人；</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②被滁州市各行业主管部门限制投标且在限制期内的。</w:t>
      </w:r>
    </w:p>
    <w:p>
      <w:pPr>
        <w:spacing w:line="40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二、在开评标活动中的查询程序</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实行有限数量制资格审查的项目，由项目单位（代理机构）对入围的投标人、法定代表人及其项目负责人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2、不实行有限数量制资格审查的项目，由项目单位（代理机构）对评审最终得分排序前</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名（含）的预中标候选人、法定代表人及其项目负责人是否存在上述要求查询的失信行为进行网上核查。若核查结果与投标人承诺不一致，则提交评标委员会取消其预中标候选人资格，依次替补，并再次对替补单位进行核查。核查结果不改变原评标基准值。</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3、项目单位及其委托的代理机构应当做好信用查询结果截图和记录留存。</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4、交易中心见证人员对预中标候选人信用查询结果进行复查，发现问题及时纠正，并按规定程序追究相关单位和人员责任。</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5、结果公告须提供有评标委员会、代理机构及交易中心现场见证人员查询记录三方签字表方可发布。</w:t>
      </w:r>
    </w:p>
    <w:p>
      <w:pPr>
        <w:spacing w:line="40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三、相关要求</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1、参与公共资源交易活动的竞争主体根据上述范围查询的内容进行自查，出具《诚信投标承诺书》并注明承诺日期（投标截止时间前</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日内）。</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pPr>
        <w:spacing w:line="40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2、“信用中国”查询的严重失信行为判定依据为各行业主管部门下发的联合惩戒文件中规定的行为（按附件2执行）。</w:t>
      </w:r>
    </w:p>
    <w:p>
      <w:pPr>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3、资格预审的项目以递交资格预审申请文件截止时间查询为准；资格后审的项目以递交投标文件截止时间查询为准。</w:t>
      </w:r>
    </w:p>
    <w:p>
      <w:pPr>
        <w:spacing w:line="400" w:lineRule="exact"/>
        <w:outlineLvl w:val="0"/>
        <w:rPr>
          <w:rFonts w:hint="eastAsia" w:ascii="宋体" w:hAnsi="宋体" w:eastAsia="宋体" w:cs="宋体"/>
          <w:b/>
          <w:color w:val="auto"/>
          <w:sz w:val="22"/>
          <w:szCs w:val="22"/>
        </w:rPr>
      </w:pPr>
      <w:bookmarkStart w:id="235" w:name="_Toc31211"/>
      <w:r>
        <w:rPr>
          <w:rFonts w:hint="eastAsia" w:ascii="宋体" w:hAnsi="宋体" w:eastAsia="宋体" w:cs="宋体"/>
          <w:b/>
          <w:color w:val="auto"/>
          <w:sz w:val="22"/>
          <w:szCs w:val="22"/>
        </w:rPr>
        <w:t>附件2</w:t>
      </w:r>
      <w:bookmarkEnd w:id="235"/>
    </w:p>
    <w:p>
      <w:pPr>
        <w:spacing w:line="40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“信用中国”查询的严重失信行为类别及判定依据</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“信用中国”查询的严重失信行为判定依据为各行业主管部门下发的联合惩戒文件中规定的行为。下面将部分类别的严重失信行为列举如下：</w:t>
      </w:r>
    </w:p>
    <w:p>
      <w:pPr>
        <w:spacing w:line="400" w:lineRule="exact"/>
        <w:ind w:firstLine="645"/>
        <w:jc w:val="left"/>
        <w:rPr>
          <w:rFonts w:hint="eastAsia" w:ascii="宋体" w:hAnsi="宋体" w:eastAsia="宋体" w:cs="宋体"/>
          <w:b/>
          <w:color w:val="auto"/>
          <w:sz w:val="22"/>
          <w:szCs w:val="22"/>
        </w:rPr>
      </w:pPr>
      <w:r>
        <w:rPr>
          <w:rFonts w:hint="eastAsia" w:ascii="宋体" w:hAnsi="宋体" w:eastAsia="宋体" w:cs="宋体"/>
          <w:b/>
          <w:color w:val="auto"/>
          <w:sz w:val="22"/>
          <w:szCs w:val="22"/>
        </w:rPr>
        <w:t>一、安全生产领域严重失信行为：</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（一）发生较大及以上生产安全责任事故，或1年内累计发生3起及以上造成人员死亡的一般生产安全责任事故的；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（二）未按规定取得安全生产许可，擅自开展生产经营建设活动的；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（三）发现重大生产安全事故隐患，或职业病危害严重超标，不及时整改，仍组织从业人员冒险作业的；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（四）采取隐蔽、欺骗或阻碍等方式逃避、对抗安全监管监察的;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（五）被责令停产停业整顿，仍然从事生产经营建设活动的；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（六）瞒报、谎报、迟报生产安全事故的；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（七）矿山、危险化学品、金属冶炼等高危行业建设项目安全设施未经验收合格即投入生产和使用的；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（八）矿山生产经营单位存在超层越界开采、以探代采行为的；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（九）发生事故后，故意破坏事故现场，伪造有关证据资料，妨碍、对抗事故调查，或主要负责人逃逸的；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（十）安全生产和职业健康技术服务机构出具虚假报告或证明，违规转让或出借资质的。</w:t>
      </w:r>
    </w:p>
    <w:p>
      <w:pPr>
        <w:spacing w:line="400" w:lineRule="exact"/>
        <w:ind w:firstLine="645"/>
        <w:jc w:val="left"/>
        <w:rPr>
          <w:rFonts w:hint="eastAsia" w:ascii="宋体" w:hAnsi="宋体" w:eastAsia="宋体" w:cs="宋体"/>
          <w:b/>
          <w:color w:val="auto"/>
          <w:sz w:val="22"/>
          <w:szCs w:val="22"/>
        </w:rPr>
      </w:pPr>
      <w:r>
        <w:rPr>
          <w:rFonts w:hint="eastAsia" w:ascii="宋体" w:hAnsi="宋体" w:eastAsia="宋体" w:cs="宋体"/>
          <w:b/>
          <w:color w:val="auto"/>
          <w:sz w:val="22"/>
          <w:szCs w:val="22"/>
        </w:rPr>
        <w:t>依据：《对安全生产领域失信行为开展联合惩戒的实施办法》（安监总办〔2017〕49号）第二条</w:t>
      </w:r>
    </w:p>
    <w:p>
      <w:pPr>
        <w:spacing w:line="400" w:lineRule="exact"/>
        <w:ind w:firstLine="645"/>
        <w:jc w:val="left"/>
        <w:rPr>
          <w:rFonts w:hint="eastAsia" w:ascii="宋体" w:hAnsi="宋体" w:eastAsia="宋体" w:cs="宋体"/>
          <w:b/>
          <w:color w:val="auto"/>
          <w:sz w:val="22"/>
          <w:szCs w:val="22"/>
        </w:rPr>
      </w:pPr>
      <w:r>
        <w:rPr>
          <w:rFonts w:hint="eastAsia" w:ascii="宋体" w:hAnsi="宋体" w:eastAsia="宋体" w:cs="宋体"/>
          <w:b/>
          <w:color w:val="auto"/>
          <w:sz w:val="22"/>
          <w:szCs w:val="22"/>
        </w:rPr>
        <w:t>二、环境保护领域严重失信行为：</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（一）因为环境违法构成</w:t>
      </w:r>
      <w:r>
        <w:rPr>
          <w:rFonts w:hint="eastAsia" w:ascii="宋体" w:hAnsi="宋体" w:eastAsia="宋体" w:cs="宋体"/>
          <w:color w:val="auto"/>
          <w:sz w:val="20"/>
          <w:szCs w:val="22"/>
        </w:rPr>
        <w:fldChar w:fldCharType="begin"/>
      </w:r>
      <w:r>
        <w:rPr>
          <w:rFonts w:hint="eastAsia" w:ascii="宋体" w:hAnsi="宋体" w:eastAsia="宋体" w:cs="宋体"/>
          <w:color w:val="auto"/>
          <w:sz w:val="20"/>
          <w:szCs w:val="22"/>
        </w:rPr>
        <w:instrText xml:space="preserve"> HYPERLINK "https://baike.sogou.com/m/fullLemma?lid=10403954&amp;g_ut=3" \t "https://baike.sogou.com/m/_blank" </w:instrText>
      </w:r>
      <w:r>
        <w:rPr>
          <w:rFonts w:hint="eastAsia" w:ascii="宋体" w:hAnsi="宋体" w:eastAsia="宋体" w:cs="宋体"/>
          <w:color w:val="auto"/>
          <w:sz w:val="20"/>
          <w:szCs w:val="22"/>
        </w:rPr>
        <w:fldChar w:fldCharType="separate"/>
      </w:r>
      <w:r>
        <w:rPr>
          <w:rFonts w:hint="eastAsia" w:ascii="宋体" w:hAnsi="宋体" w:eastAsia="宋体" w:cs="宋体"/>
          <w:color w:val="auto"/>
          <w:sz w:val="22"/>
          <w:szCs w:val="22"/>
        </w:rPr>
        <w:t>环境犯罪</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（二）</w:t>
      </w:r>
      <w:r>
        <w:rPr>
          <w:rFonts w:hint="eastAsia" w:ascii="宋体" w:hAnsi="宋体" w:eastAsia="宋体" w:cs="宋体"/>
          <w:color w:val="auto"/>
          <w:sz w:val="20"/>
          <w:szCs w:val="22"/>
        </w:rPr>
        <w:fldChar w:fldCharType="begin"/>
      </w:r>
      <w:r>
        <w:rPr>
          <w:rFonts w:hint="eastAsia" w:ascii="宋体" w:hAnsi="宋体" w:eastAsia="宋体" w:cs="宋体"/>
          <w:color w:val="auto"/>
          <w:sz w:val="20"/>
          <w:szCs w:val="22"/>
        </w:rPr>
        <w:instrText xml:space="preserve"> HYPERLINK "https://baike.sogou.com/m/fullLemma?lid=76033123&amp;g_ut=3" \t "https://baike.sogou.com/m/_blank" </w:instrText>
      </w:r>
      <w:r>
        <w:rPr>
          <w:rFonts w:hint="eastAsia" w:ascii="宋体" w:hAnsi="宋体" w:eastAsia="宋体" w:cs="宋体"/>
          <w:color w:val="auto"/>
          <w:sz w:val="20"/>
          <w:szCs w:val="22"/>
        </w:rPr>
        <w:fldChar w:fldCharType="separate"/>
      </w:r>
      <w:r>
        <w:rPr>
          <w:rFonts w:hint="eastAsia" w:ascii="宋体" w:hAnsi="宋体" w:eastAsia="宋体" w:cs="宋体"/>
          <w:color w:val="auto"/>
          <w:sz w:val="22"/>
          <w:szCs w:val="22"/>
        </w:rPr>
        <w:t>建设项目环境影响评价</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文件未按规定通过审批，擅自开工建设的；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（三）建设项目环保设施未建成、环保措施未落实、未通过</w:t>
      </w:r>
      <w:r>
        <w:rPr>
          <w:rFonts w:hint="eastAsia" w:ascii="宋体" w:hAnsi="宋体" w:eastAsia="宋体" w:cs="宋体"/>
          <w:color w:val="auto"/>
          <w:sz w:val="20"/>
          <w:szCs w:val="22"/>
        </w:rPr>
        <w:fldChar w:fldCharType="begin"/>
      </w:r>
      <w:r>
        <w:rPr>
          <w:rFonts w:hint="eastAsia" w:ascii="宋体" w:hAnsi="宋体" w:eastAsia="宋体" w:cs="宋体"/>
          <w:color w:val="auto"/>
          <w:sz w:val="20"/>
          <w:szCs w:val="22"/>
        </w:rPr>
        <w:instrText xml:space="preserve"> HYPERLINK "https://baike.sogou.com/m/fullLemma?lid=6470550&amp;g_ut=3" \t "https://baike.sogou.com/m/_blank" </w:instrText>
      </w:r>
      <w:r>
        <w:rPr>
          <w:rFonts w:hint="eastAsia" w:ascii="宋体" w:hAnsi="宋体" w:eastAsia="宋体" w:cs="宋体"/>
          <w:color w:val="auto"/>
          <w:sz w:val="20"/>
          <w:szCs w:val="22"/>
        </w:rPr>
        <w:fldChar w:fldCharType="separate"/>
      </w:r>
      <w:r>
        <w:rPr>
          <w:rFonts w:hint="eastAsia" w:ascii="宋体" w:hAnsi="宋体" w:eastAsia="宋体" w:cs="宋体"/>
          <w:color w:val="auto"/>
          <w:sz w:val="22"/>
          <w:szCs w:val="22"/>
        </w:rPr>
        <w:t>竣工环保验收</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或者验收不合格，主体工程正式投入生产或者使用的；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（四）建设项目性质、规模、地点、采用的生产工艺或者防治污染、防止生态破坏的措施发生重大变动，未重新报批环境影响评价文件，擅自投入生产或者使用的；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（五）主要污染物排放总量超过控制指标的；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（六）私设暗管或者利用</w:t>
      </w:r>
      <w:r>
        <w:rPr>
          <w:rFonts w:hint="eastAsia" w:ascii="宋体" w:hAnsi="宋体" w:eastAsia="宋体" w:cs="宋体"/>
          <w:color w:val="auto"/>
          <w:sz w:val="20"/>
          <w:szCs w:val="22"/>
        </w:rPr>
        <w:fldChar w:fldCharType="begin"/>
      </w:r>
      <w:r>
        <w:rPr>
          <w:rFonts w:hint="eastAsia" w:ascii="宋体" w:hAnsi="宋体" w:eastAsia="宋体" w:cs="宋体"/>
          <w:color w:val="auto"/>
          <w:sz w:val="20"/>
          <w:szCs w:val="22"/>
        </w:rPr>
        <w:instrText xml:space="preserve"> HYPERLINK "https://baike.sogou.com/m/fullLemma?lid=41657319&amp;g_ut=3" \t "https://baike.sogou.com/m/_blank" </w:instrText>
      </w:r>
      <w:r>
        <w:rPr>
          <w:rFonts w:hint="eastAsia" w:ascii="宋体" w:hAnsi="宋体" w:eastAsia="宋体" w:cs="宋体"/>
          <w:color w:val="auto"/>
          <w:sz w:val="20"/>
          <w:szCs w:val="22"/>
        </w:rPr>
        <w:fldChar w:fldCharType="separate"/>
      </w:r>
      <w:r>
        <w:rPr>
          <w:rFonts w:hint="eastAsia" w:ascii="宋体" w:hAnsi="宋体" w:eastAsia="宋体" w:cs="宋体"/>
          <w:color w:val="auto"/>
          <w:sz w:val="22"/>
          <w:szCs w:val="22"/>
        </w:rPr>
        <w:t>渗井</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、渗坑、裂隙、溶洞等排放、倾倒、处置水污染物，或者通过私设旁路排放</w:t>
      </w:r>
      <w:r>
        <w:rPr>
          <w:rFonts w:hint="eastAsia" w:ascii="宋体" w:hAnsi="宋体" w:eastAsia="宋体" w:cs="宋体"/>
          <w:color w:val="auto"/>
          <w:sz w:val="20"/>
          <w:szCs w:val="22"/>
        </w:rPr>
        <w:fldChar w:fldCharType="begin"/>
      </w:r>
      <w:r>
        <w:rPr>
          <w:rFonts w:hint="eastAsia" w:ascii="宋体" w:hAnsi="宋体" w:eastAsia="宋体" w:cs="宋体"/>
          <w:color w:val="auto"/>
          <w:sz w:val="20"/>
          <w:szCs w:val="22"/>
        </w:rPr>
        <w:instrText xml:space="preserve"> HYPERLINK "https://baike.sogou.com/m/fullLemma?lid=7758328&amp;g_ut=3" \t "https://baike.sogou.com/m/_blank" </w:instrText>
      </w:r>
      <w:r>
        <w:rPr>
          <w:rFonts w:hint="eastAsia" w:ascii="宋体" w:hAnsi="宋体" w:eastAsia="宋体" w:cs="宋体"/>
          <w:color w:val="auto"/>
          <w:sz w:val="20"/>
          <w:szCs w:val="22"/>
        </w:rPr>
        <w:fldChar w:fldCharType="separate"/>
      </w:r>
      <w:r>
        <w:rPr>
          <w:rFonts w:hint="eastAsia" w:ascii="宋体" w:hAnsi="宋体" w:eastAsia="宋体" w:cs="宋体"/>
          <w:color w:val="auto"/>
          <w:sz w:val="22"/>
          <w:szCs w:val="22"/>
        </w:rPr>
        <w:t>大气污染物</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（七）非法排放、倾倒、处置危险废物，或者向无</w:t>
      </w:r>
      <w:r>
        <w:rPr>
          <w:rFonts w:hint="eastAsia" w:ascii="宋体" w:hAnsi="宋体" w:eastAsia="宋体" w:cs="宋体"/>
          <w:color w:val="auto"/>
          <w:sz w:val="20"/>
          <w:szCs w:val="22"/>
        </w:rPr>
        <w:fldChar w:fldCharType="begin"/>
      </w:r>
      <w:r>
        <w:rPr>
          <w:rFonts w:hint="eastAsia" w:ascii="宋体" w:hAnsi="宋体" w:eastAsia="宋体" w:cs="宋体"/>
          <w:color w:val="auto"/>
          <w:sz w:val="20"/>
          <w:szCs w:val="22"/>
        </w:rPr>
        <w:instrText xml:space="preserve"> HYPERLINK "https://baike.sogou.com/m/fullLemma?lid=5923292&amp;g_ut=3" \t "https://baike.sogou.com/m/_blank" </w:instrText>
      </w:r>
      <w:r>
        <w:rPr>
          <w:rFonts w:hint="eastAsia" w:ascii="宋体" w:hAnsi="宋体" w:eastAsia="宋体" w:cs="宋体"/>
          <w:color w:val="auto"/>
          <w:sz w:val="20"/>
          <w:szCs w:val="22"/>
        </w:rPr>
        <w:fldChar w:fldCharType="separate"/>
      </w:r>
      <w:r>
        <w:rPr>
          <w:rFonts w:hint="eastAsia" w:ascii="宋体" w:hAnsi="宋体" w:eastAsia="宋体" w:cs="宋体"/>
          <w:color w:val="auto"/>
          <w:sz w:val="22"/>
          <w:szCs w:val="22"/>
        </w:rPr>
        <w:t>经营许可证</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或者超出经营许可范围的单位或个人提供或者委托其收集、贮存、利用、处置危险废物的；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（八）</w:t>
      </w:r>
      <w:r>
        <w:rPr>
          <w:rFonts w:hint="eastAsia" w:ascii="宋体" w:hAnsi="宋体" w:eastAsia="宋体" w:cs="宋体"/>
          <w:color w:val="auto"/>
          <w:sz w:val="20"/>
          <w:szCs w:val="22"/>
        </w:rPr>
        <w:fldChar w:fldCharType="begin"/>
      </w:r>
      <w:r>
        <w:rPr>
          <w:rFonts w:hint="eastAsia" w:ascii="宋体" w:hAnsi="宋体" w:eastAsia="宋体" w:cs="宋体"/>
          <w:color w:val="auto"/>
          <w:sz w:val="20"/>
          <w:szCs w:val="22"/>
        </w:rPr>
        <w:instrText xml:space="preserve"> HYPERLINK "https://baike.sogou.com/m/fullLemma?lid=167759803&amp;g_ut=3" \t "https://baike.sogou.com/m/_blank" </w:instrText>
      </w:r>
      <w:r>
        <w:rPr>
          <w:rFonts w:hint="eastAsia" w:ascii="宋体" w:hAnsi="宋体" w:eastAsia="宋体" w:cs="宋体"/>
          <w:color w:val="auto"/>
          <w:sz w:val="20"/>
          <w:szCs w:val="22"/>
        </w:rPr>
        <w:fldChar w:fldCharType="separate"/>
      </w:r>
      <w:r>
        <w:rPr>
          <w:rFonts w:hint="eastAsia" w:ascii="宋体" w:hAnsi="宋体" w:eastAsia="宋体" w:cs="宋体"/>
          <w:color w:val="auto"/>
          <w:sz w:val="22"/>
          <w:szCs w:val="22"/>
        </w:rPr>
        <w:t>环境违法行为</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造成集中式生活饮用水水源取水中断的；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（九）环境违法行为对生活饮用水水源保护区、自然保护区、</w:t>
      </w:r>
      <w:r>
        <w:rPr>
          <w:rFonts w:hint="eastAsia" w:ascii="宋体" w:hAnsi="宋体" w:eastAsia="宋体" w:cs="宋体"/>
          <w:color w:val="auto"/>
          <w:sz w:val="20"/>
          <w:szCs w:val="22"/>
        </w:rPr>
        <w:fldChar w:fldCharType="begin"/>
      </w:r>
      <w:r>
        <w:rPr>
          <w:rFonts w:hint="eastAsia" w:ascii="宋体" w:hAnsi="宋体" w:eastAsia="宋体" w:cs="宋体"/>
          <w:color w:val="auto"/>
          <w:sz w:val="20"/>
          <w:szCs w:val="22"/>
        </w:rPr>
        <w:instrText xml:space="preserve"> HYPERLINK "https://baike.sogou.com/m/fullLemma?lid=155199213&amp;g_ut=3" \t "https://baike.sogou.com/m/_blank" </w:instrText>
      </w:r>
      <w:r>
        <w:rPr>
          <w:rFonts w:hint="eastAsia" w:ascii="宋体" w:hAnsi="宋体" w:eastAsia="宋体" w:cs="宋体"/>
          <w:color w:val="auto"/>
          <w:sz w:val="20"/>
          <w:szCs w:val="22"/>
        </w:rPr>
        <w:fldChar w:fldCharType="separate"/>
      </w:r>
      <w:r>
        <w:rPr>
          <w:rFonts w:hint="eastAsia" w:ascii="宋体" w:hAnsi="宋体" w:eastAsia="宋体" w:cs="宋体"/>
          <w:color w:val="auto"/>
          <w:sz w:val="22"/>
          <w:szCs w:val="22"/>
        </w:rPr>
        <w:t>国家重点生态功能区</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、风景名胜区、居住功能区、</w:t>
      </w:r>
      <w:r>
        <w:rPr>
          <w:rFonts w:hint="eastAsia" w:ascii="宋体" w:hAnsi="宋体" w:eastAsia="宋体" w:cs="宋体"/>
          <w:color w:val="auto"/>
          <w:sz w:val="20"/>
          <w:szCs w:val="22"/>
        </w:rPr>
        <w:fldChar w:fldCharType="begin"/>
      </w:r>
      <w:r>
        <w:rPr>
          <w:rFonts w:hint="eastAsia" w:ascii="宋体" w:hAnsi="宋体" w:eastAsia="宋体" w:cs="宋体"/>
          <w:color w:val="auto"/>
          <w:sz w:val="20"/>
          <w:szCs w:val="22"/>
        </w:rPr>
        <w:instrText xml:space="preserve"> HYPERLINK "https://baike.sogou.com/m/fullLemma?lid=7757164&amp;g_ut=3" \t "https://baike.sogou.com/m/_blank" </w:instrText>
      </w:r>
      <w:r>
        <w:rPr>
          <w:rFonts w:hint="eastAsia" w:ascii="宋体" w:hAnsi="宋体" w:eastAsia="宋体" w:cs="宋体"/>
          <w:color w:val="auto"/>
          <w:sz w:val="20"/>
          <w:szCs w:val="22"/>
        </w:rPr>
        <w:fldChar w:fldCharType="separate"/>
      </w:r>
      <w:r>
        <w:rPr>
          <w:rFonts w:hint="eastAsia" w:ascii="宋体" w:hAnsi="宋体" w:eastAsia="宋体" w:cs="宋体"/>
          <w:color w:val="auto"/>
          <w:sz w:val="22"/>
          <w:szCs w:val="22"/>
        </w:rPr>
        <w:t>基本农田保护区</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等环境敏感区造成重大不利影响的；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（十）违法从事自然资源开发、交通基础设施建设，以及其他开发建设活动，造成严重生态破坏的；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（十一）发生较大及以上突发环境事件的；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（十二）被环保部门挂牌督办，整改逾期未完成的；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（十三）以暴力、威胁等方式拒绝、阻挠环保部门工作人员现场检查的；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（十四）违反重污染天气应急预案有关规定，对重污染天气响应不力的。</w:t>
      </w:r>
    </w:p>
    <w:p>
      <w:pPr>
        <w:spacing w:line="400" w:lineRule="exact"/>
        <w:ind w:firstLine="645"/>
        <w:jc w:val="left"/>
        <w:rPr>
          <w:rFonts w:hint="eastAsia" w:ascii="宋体" w:hAnsi="宋体" w:eastAsia="宋体" w:cs="宋体"/>
          <w:b/>
          <w:color w:val="auto"/>
          <w:sz w:val="22"/>
          <w:szCs w:val="22"/>
        </w:rPr>
      </w:pPr>
      <w:r>
        <w:rPr>
          <w:rFonts w:hint="eastAsia" w:ascii="宋体" w:hAnsi="宋体" w:eastAsia="宋体" w:cs="宋体"/>
          <w:b/>
          <w:color w:val="auto"/>
          <w:sz w:val="22"/>
          <w:szCs w:val="22"/>
        </w:rPr>
        <w:t>依据：《关于对环境保护领域失信生产经营单位及其有关人员开展联合惩戒的合作备忘录》、《企业环境信用评价办法（试行）》（环发〔2013〕150号）</w:t>
      </w:r>
    </w:p>
    <w:p>
      <w:pPr>
        <w:spacing w:line="400" w:lineRule="exact"/>
        <w:ind w:firstLine="645"/>
        <w:jc w:val="left"/>
        <w:rPr>
          <w:rFonts w:hint="eastAsia" w:ascii="宋体" w:hAnsi="宋体" w:eastAsia="宋体" w:cs="宋体"/>
          <w:b/>
          <w:color w:val="auto"/>
          <w:sz w:val="22"/>
          <w:szCs w:val="22"/>
        </w:rPr>
      </w:pPr>
      <w:r>
        <w:rPr>
          <w:rFonts w:hint="eastAsia" w:ascii="宋体" w:hAnsi="宋体" w:eastAsia="宋体" w:cs="宋体"/>
          <w:b/>
          <w:color w:val="auto"/>
          <w:sz w:val="22"/>
          <w:szCs w:val="22"/>
        </w:rPr>
        <w:t>三、</w:t>
      </w:r>
      <w:r>
        <w:rPr>
          <w:rFonts w:hint="eastAsia" w:ascii="宋体" w:hAnsi="宋体" w:eastAsia="宋体" w:cs="宋体"/>
          <w:b/>
          <w:bCs/>
          <w:color w:val="auto"/>
          <w:sz w:val="22"/>
          <w:szCs w:val="22"/>
        </w:rPr>
        <w:t>公共资源交易领域严重失信行为</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（一）违反法律规定，必须进行招标的项目而不招标的，将必须进行招标的项目化整为零或者以其他任何方式规避招标的； </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（二）招标代理机构违反法律规定，泄露应当保密的与招标投标活动有关的情况和资料的，或者与</w:t>
      </w:r>
      <w:r>
        <w:rPr>
          <w:rFonts w:hint="eastAsia" w:ascii="宋体" w:hAnsi="宋体" w:eastAsia="宋体" w:cs="宋体"/>
          <w:color w:val="auto"/>
          <w:sz w:val="22"/>
          <w:szCs w:val="22"/>
          <w:lang w:eastAsia="zh-CN"/>
        </w:rPr>
        <w:t>采购人</w:t>
      </w:r>
      <w:r>
        <w:rPr>
          <w:rFonts w:hint="eastAsia" w:ascii="宋体" w:hAnsi="宋体" w:eastAsia="宋体" w:cs="宋体"/>
          <w:color w:val="auto"/>
          <w:sz w:val="22"/>
          <w:szCs w:val="22"/>
        </w:rPr>
        <w:t>、投标人串通损害 国家利益、社会公共利益或者他人合法权益的；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 （三）</w:t>
      </w:r>
      <w:r>
        <w:rPr>
          <w:rFonts w:hint="eastAsia" w:ascii="宋体" w:hAnsi="宋体" w:eastAsia="宋体" w:cs="宋体"/>
          <w:color w:val="auto"/>
          <w:sz w:val="22"/>
          <w:szCs w:val="22"/>
          <w:lang w:eastAsia="zh-CN"/>
        </w:rPr>
        <w:t>采购人</w:t>
      </w:r>
      <w:r>
        <w:rPr>
          <w:rFonts w:hint="eastAsia" w:ascii="宋体" w:hAnsi="宋体" w:eastAsia="宋体" w:cs="宋体"/>
          <w:color w:val="auto"/>
          <w:sz w:val="22"/>
          <w:szCs w:val="22"/>
        </w:rPr>
        <w:t>以不合理的条件限制或者排斥潜在投标人的，对潜在投标人实行歧视待遇的，强制要求投标人组成联合体共同 投标的，或者限制投标人之间竞争的；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 （四）依法必须进行招标的项目的</w:t>
      </w:r>
      <w:r>
        <w:rPr>
          <w:rFonts w:hint="eastAsia" w:ascii="宋体" w:hAnsi="宋体" w:eastAsia="宋体" w:cs="宋体"/>
          <w:color w:val="auto"/>
          <w:sz w:val="22"/>
          <w:szCs w:val="22"/>
          <w:lang w:eastAsia="zh-CN"/>
        </w:rPr>
        <w:t>采购人</w:t>
      </w:r>
      <w:r>
        <w:rPr>
          <w:rFonts w:hint="eastAsia" w:ascii="宋体" w:hAnsi="宋体" w:eastAsia="宋体" w:cs="宋体"/>
          <w:color w:val="auto"/>
          <w:sz w:val="22"/>
          <w:szCs w:val="22"/>
        </w:rPr>
        <w:t>向他人透露已获取交易文件的潜在投标人的名称、数量或者可能影响公平竞争的有 关招标投标的其他情况的，或者泄露标底的；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 （五）投标人相互串通投标或者与</w:t>
      </w:r>
      <w:r>
        <w:rPr>
          <w:rFonts w:hint="eastAsia" w:ascii="宋体" w:hAnsi="宋体" w:eastAsia="宋体" w:cs="宋体"/>
          <w:color w:val="auto"/>
          <w:sz w:val="22"/>
          <w:szCs w:val="22"/>
          <w:lang w:eastAsia="zh-CN"/>
        </w:rPr>
        <w:t>采购人</w:t>
      </w:r>
      <w:r>
        <w:rPr>
          <w:rFonts w:hint="eastAsia" w:ascii="宋体" w:hAnsi="宋体" w:eastAsia="宋体" w:cs="宋体"/>
          <w:color w:val="auto"/>
          <w:sz w:val="22"/>
          <w:szCs w:val="22"/>
        </w:rPr>
        <w:t>串通投标的，投标人以向</w:t>
      </w:r>
      <w:r>
        <w:rPr>
          <w:rFonts w:hint="eastAsia" w:ascii="宋体" w:hAnsi="宋体" w:eastAsia="宋体" w:cs="宋体"/>
          <w:color w:val="auto"/>
          <w:sz w:val="22"/>
          <w:szCs w:val="22"/>
          <w:lang w:eastAsia="zh-CN"/>
        </w:rPr>
        <w:t>采购人</w:t>
      </w:r>
      <w:r>
        <w:rPr>
          <w:rFonts w:hint="eastAsia" w:ascii="宋体" w:hAnsi="宋体" w:eastAsia="宋体" w:cs="宋体"/>
          <w:color w:val="auto"/>
          <w:sz w:val="22"/>
          <w:szCs w:val="22"/>
        </w:rPr>
        <w:t xml:space="preserve">或者评标委员会成员行贿的手段谋取中标的； </w:t>
      </w:r>
    </w:p>
    <w:p>
      <w:pPr>
        <w:spacing w:line="400" w:lineRule="exact"/>
        <w:ind w:firstLine="699" w:firstLineChars="318"/>
        <w:jc w:val="left"/>
        <w:rPr>
          <w:rFonts w:hint="eastAsia" w:ascii="宋体" w:hAnsi="宋体" w:eastAsia="宋体" w:cs="宋体"/>
          <w:color w:val="auto"/>
          <w:sz w:val="22"/>
          <w:szCs w:val="22"/>
        </w:rPr>
      </w:pPr>
      <w:r>
        <w:rPr>
          <w:rFonts w:hint="eastAsia" w:ascii="宋体" w:hAnsi="宋体" w:eastAsia="宋体" w:cs="宋体"/>
          <w:color w:val="auto"/>
          <w:sz w:val="22"/>
          <w:szCs w:val="22"/>
        </w:rPr>
        <w:t>（六）投标人以他人名义投标或者以其他方式弄虚作假，骗取中标的；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 （七）依法必须进行招标的项目，</w:t>
      </w:r>
      <w:r>
        <w:rPr>
          <w:rFonts w:hint="eastAsia" w:ascii="宋体" w:hAnsi="宋体" w:eastAsia="宋体" w:cs="宋体"/>
          <w:color w:val="auto"/>
          <w:sz w:val="22"/>
          <w:szCs w:val="22"/>
          <w:lang w:eastAsia="zh-CN"/>
        </w:rPr>
        <w:t>采购人</w:t>
      </w:r>
      <w:r>
        <w:rPr>
          <w:rFonts w:hint="eastAsia" w:ascii="宋体" w:hAnsi="宋体" w:eastAsia="宋体" w:cs="宋体"/>
          <w:color w:val="auto"/>
          <w:sz w:val="22"/>
          <w:szCs w:val="22"/>
        </w:rPr>
        <w:t>违反法律规定，与投标人就投标价格、投标方案等实质性内容进行谈判的；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（九）</w:t>
      </w:r>
      <w:r>
        <w:rPr>
          <w:rFonts w:hint="eastAsia" w:ascii="宋体" w:hAnsi="宋体" w:eastAsia="宋体" w:cs="宋体"/>
          <w:color w:val="auto"/>
          <w:sz w:val="22"/>
          <w:szCs w:val="22"/>
          <w:lang w:eastAsia="zh-CN"/>
        </w:rPr>
        <w:t>采购人</w:t>
      </w:r>
      <w:r>
        <w:rPr>
          <w:rFonts w:hint="eastAsia" w:ascii="宋体" w:hAnsi="宋体" w:eastAsia="宋体" w:cs="宋体"/>
          <w:color w:val="auto"/>
          <w:sz w:val="22"/>
          <w:szCs w:val="22"/>
        </w:rPr>
        <w:t xml:space="preserve">在评标委员会依法推荐的中标候选人以外确定中标人的，依法必须进行招标的项目在所有投标被评标委员会否 决后自行确定中标人的； </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（十）中标人将中标项目转让给他人的，将中标项目肢解后分别转让给他人的，违反法律规定将中标项目的部分主体、关键 性工作分包给他人的，或者分包人再次分包的； </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（十一）</w:t>
      </w:r>
      <w:r>
        <w:rPr>
          <w:rFonts w:hint="eastAsia" w:ascii="宋体" w:hAnsi="宋体" w:eastAsia="宋体" w:cs="宋体"/>
          <w:color w:val="auto"/>
          <w:sz w:val="22"/>
          <w:szCs w:val="22"/>
          <w:lang w:eastAsia="zh-CN"/>
        </w:rPr>
        <w:t>采购人</w:t>
      </w:r>
      <w:r>
        <w:rPr>
          <w:rFonts w:hint="eastAsia" w:ascii="宋体" w:hAnsi="宋体" w:eastAsia="宋体" w:cs="宋体"/>
          <w:color w:val="auto"/>
          <w:sz w:val="22"/>
          <w:szCs w:val="22"/>
        </w:rPr>
        <w:t>与中标人不按照交易文件和中标人的投标文件订立合同的，或者</w:t>
      </w:r>
      <w:r>
        <w:rPr>
          <w:rFonts w:hint="eastAsia" w:ascii="宋体" w:hAnsi="宋体" w:eastAsia="宋体" w:cs="宋体"/>
          <w:color w:val="auto"/>
          <w:sz w:val="22"/>
          <w:szCs w:val="22"/>
          <w:lang w:eastAsia="zh-CN"/>
        </w:rPr>
        <w:t>采购人</w:t>
      </w:r>
      <w:r>
        <w:rPr>
          <w:rFonts w:hint="eastAsia" w:ascii="宋体" w:hAnsi="宋体" w:eastAsia="宋体" w:cs="宋体"/>
          <w:color w:val="auto"/>
          <w:sz w:val="22"/>
          <w:szCs w:val="22"/>
        </w:rPr>
        <w:t xml:space="preserve">、中标人订立背离合同实质性内容的 协议的； </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（十二）中标人不按照与</w:t>
      </w:r>
      <w:r>
        <w:rPr>
          <w:rFonts w:hint="eastAsia" w:ascii="宋体" w:hAnsi="宋体" w:eastAsia="宋体" w:cs="宋体"/>
          <w:color w:val="auto"/>
          <w:sz w:val="22"/>
          <w:szCs w:val="22"/>
          <w:lang w:eastAsia="zh-CN"/>
        </w:rPr>
        <w:t>采购人</w:t>
      </w:r>
      <w:r>
        <w:rPr>
          <w:rFonts w:hint="eastAsia" w:ascii="宋体" w:hAnsi="宋体" w:eastAsia="宋体" w:cs="宋体"/>
          <w:color w:val="auto"/>
          <w:sz w:val="22"/>
          <w:szCs w:val="22"/>
        </w:rPr>
        <w:t xml:space="preserve">订立的合同履行义务，情节严重的； </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 （十五）采购人对应当实行集中采购的政府采购项目，不委托集中采购机构实行集中采购的； </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（十六）采购人、采购代理机构违反法律规定隐匿、销毁应当保存的采购文件或者伪造、变造采购文件的； </w:t>
      </w:r>
    </w:p>
    <w:p>
      <w:pPr>
        <w:spacing w:line="400" w:lineRule="exact"/>
        <w:ind w:firstLine="645"/>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pPr>
        <w:spacing w:line="400" w:lineRule="exact"/>
        <w:ind w:left="755" w:leftChars="307" w:hanging="110" w:hangingChars="50"/>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（十八）疫苗生产企业向县级疾病预防控制机构以外的单位或者个人销售第二类疫苗的； </w:t>
      </w:r>
    </w:p>
    <w:p>
      <w:pPr>
        <w:spacing w:line="400" w:lineRule="exact"/>
        <w:ind w:left="755" w:leftChars="307" w:hanging="110" w:hangingChars="50"/>
        <w:jc w:val="left"/>
        <w:rPr>
          <w:rFonts w:hint="eastAsia" w:ascii="宋体" w:hAnsi="宋体" w:eastAsia="宋体" w:cs="宋体"/>
          <w:color w:val="auto"/>
          <w:sz w:val="22"/>
          <w:szCs w:val="22"/>
        </w:rPr>
      </w:pPr>
      <w:r>
        <w:rPr>
          <w:rFonts w:hint="eastAsia" w:ascii="宋体" w:hAnsi="宋体" w:eastAsia="宋体" w:cs="宋体"/>
          <w:color w:val="auto"/>
          <w:sz w:val="22"/>
          <w:szCs w:val="22"/>
        </w:rPr>
        <w:t>（十九）存在其他违反公共资源交易法律法规行为的。</w:t>
      </w:r>
    </w:p>
    <w:p>
      <w:pPr>
        <w:spacing w:line="400" w:lineRule="exact"/>
        <w:ind w:firstLine="702" w:firstLineChars="318"/>
        <w:jc w:val="left"/>
        <w:rPr>
          <w:rFonts w:hint="eastAsia" w:ascii="宋体" w:hAnsi="宋体" w:eastAsia="宋体" w:cs="宋体"/>
          <w:color w:val="auto"/>
          <w:sz w:val="22"/>
          <w:szCs w:val="22"/>
        </w:rPr>
      </w:pPr>
      <w:r>
        <w:rPr>
          <w:rFonts w:hint="eastAsia" w:ascii="宋体" w:hAnsi="宋体" w:eastAsia="宋体" w:cs="宋体"/>
          <w:b/>
          <w:color w:val="auto"/>
          <w:sz w:val="22"/>
          <w:szCs w:val="22"/>
        </w:rPr>
        <w:t>依据：《关于对公共资源交易领域严重失信主体开展联合惩戒的备忘录》</w:t>
      </w:r>
    </w:p>
    <w:p>
      <w:pPr>
        <w:spacing w:line="400" w:lineRule="exact"/>
        <w:ind w:firstLine="645"/>
        <w:jc w:val="left"/>
        <w:rPr>
          <w:rFonts w:hint="eastAsia" w:ascii="宋体" w:hAnsi="宋体" w:eastAsia="宋体" w:cs="宋体"/>
          <w:b/>
          <w:bCs/>
          <w:color w:val="auto"/>
          <w:sz w:val="22"/>
          <w:szCs w:val="22"/>
        </w:rPr>
      </w:pPr>
      <w:r>
        <w:rPr>
          <w:rFonts w:hint="eastAsia" w:ascii="宋体" w:hAnsi="宋体" w:eastAsia="宋体" w:cs="宋体"/>
          <w:b/>
          <w:color w:val="auto"/>
          <w:sz w:val="22"/>
          <w:szCs w:val="22"/>
        </w:rPr>
        <w:t>四、</w:t>
      </w:r>
      <w:r>
        <w:rPr>
          <w:rFonts w:hint="eastAsia" w:ascii="宋体" w:hAnsi="宋体" w:eastAsia="宋体" w:cs="宋体"/>
          <w:b/>
          <w:bCs/>
          <w:color w:val="auto"/>
          <w:sz w:val="22"/>
          <w:szCs w:val="22"/>
        </w:rPr>
        <w:t>社会保险领域严重失信行为</w:t>
      </w:r>
    </w:p>
    <w:p>
      <w:pPr>
        <w:spacing w:line="400" w:lineRule="exact"/>
        <w:ind w:left="755" w:leftChars="307" w:hanging="110" w:hangingChars="50"/>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（一）用人单位未按相关规定参加社会保险且拒不整改的； </w:t>
      </w:r>
    </w:p>
    <w:p>
      <w:pPr>
        <w:spacing w:line="400" w:lineRule="exact"/>
        <w:ind w:left="755" w:leftChars="307" w:hanging="110" w:hangingChars="50"/>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（二）用人单位未如实申报社会保险缴费基数且拒不整改的； </w:t>
      </w:r>
    </w:p>
    <w:p>
      <w:pPr>
        <w:spacing w:line="400" w:lineRule="exact"/>
        <w:ind w:left="755" w:leftChars="307" w:hanging="110" w:hangingChars="50"/>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（三）应缴纳社会保险费却拒不缴纳的； </w:t>
      </w:r>
    </w:p>
    <w:p>
      <w:pPr>
        <w:spacing w:line="400" w:lineRule="exact"/>
        <w:ind w:left="755" w:leftChars="307" w:hanging="110" w:hangingChars="50"/>
        <w:jc w:val="left"/>
        <w:rPr>
          <w:rFonts w:hint="eastAsia" w:ascii="宋体" w:hAnsi="宋体" w:eastAsia="宋体" w:cs="宋体"/>
          <w:color w:val="auto"/>
          <w:sz w:val="22"/>
          <w:szCs w:val="22"/>
        </w:rPr>
      </w:pPr>
      <w:r>
        <w:rPr>
          <w:rFonts w:hint="eastAsia" w:ascii="宋体" w:hAnsi="宋体" w:eastAsia="宋体" w:cs="宋体"/>
          <w:color w:val="auto"/>
          <w:sz w:val="22"/>
          <w:szCs w:val="22"/>
        </w:rPr>
        <w:t>（四）隐匿、转移、侵占、挪用社会保险费款、基金或者违规 投资运营的；</w:t>
      </w:r>
    </w:p>
    <w:p>
      <w:pPr>
        <w:spacing w:line="400" w:lineRule="exact"/>
        <w:ind w:left="755" w:leftChars="307" w:hanging="110" w:hangingChars="50"/>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（五）以欺诈、伪造证明材料或者其他手段参加、申报社会保 险和骗取社会保险基金支出或社会保险待遇的； </w:t>
      </w:r>
    </w:p>
    <w:p>
      <w:pPr>
        <w:spacing w:line="400" w:lineRule="exact"/>
        <w:ind w:left="755" w:leftChars="307" w:hanging="110" w:hangingChars="50"/>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（六）非法获取、出售或变相交易社会保险个人权益数据的； </w:t>
      </w:r>
    </w:p>
    <w:p>
      <w:pPr>
        <w:spacing w:line="400" w:lineRule="exact"/>
        <w:ind w:left="755" w:leftChars="307" w:hanging="110" w:hangingChars="50"/>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（七）社会保险服务机构违反服务协议或相关规定的； </w:t>
      </w:r>
    </w:p>
    <w:p>
      <w:pPr>
        <w:spacing w:line="400" w:lineRule="exact"/>
        <w:ind w:left="755" w:leftChars="307" w:hanging="110" w:hangingChars="50"/>
        <w:jc w:val="left"/>
        <w:rPr>
          <w:rFonts w:hint="eastAsia" w:ascii="宋体" w:hAnsi="宋体" w:eastAsia="宋体" w:cs="宋体"/>
          <w:color w:val="auto"/>
          <w:sz w:val="22"/>
          <w:szCs w:val="22"/>
        </w:rPr>
      </w:pPr>
      <w:r>
        <w:rPr>
          <w:rFonts w:hint="eastAsia" w:ascii="宋体" w:hAnsi="宋体" w:eastAsia="宋体" w:cs="宋体"/>
          <w:color w:val="auto"/>
          <w:sz w:val="22"/>
          <w:szCs w:val="22"/>
        </w:rPr>
        <w:t xml:space="preserve">（八）拒绝协助社会保险行政部门、经办机构对事故和问题进 行调查核实的；拒绝接受或协助税务部门对社会保险实施监督检查， 不如实提供与社会保险相关各项资料的； </w:t>
      </w:r>
    </w:p>
    <w:p>
      <w:pPr>
        <w:spacing w:line="400" w:lineRule="exact"/>
        <w:ind w:left="755" w:leftChars="307" w:hanging="110" w:hangingChars="50"/>
        <w:jc w:val="left"/>
        <w:rPr>
          <w:rFonts w:hint="eastAsia" w:ascii="宋体" w:hAnsi="宋体" w:eastAsia="宋体" w:cs="宋体"/>
          <w:color w:val="auto"/>
          <w:sz w:val="22"/>
          <w:szCs w:val="22"/>
        </w:rPr>
      </w:pPr>
      <w:r>
        <w:rPr>
          <w:rFonts w:hint="eastAsia" w:ascii="宋体" w:hAnsi="宋体" w:eastAsia="宋体" w:cs="宋体"/>
          <w:color w:val="auto"/>
          <w:sz w:val="22"/>
          <w:szCs w:val="22"/>
        </w:rPr>
        <w:t>（九）其他违反法律法规规定的。</w:t>
      </w:r>
    </w:p>
    <w:p>
      <w:pPr>
        <w:spacing w:line="400" w:lineRule="exact"/>
        <w:jc w:val="left"/>
        <w:rPr>
          <w:rFonts w:hint="eastAsia" w:ascii="宋体" w:hAnsi="宋体" w:eastAsia="宋体" w:cs="宋体"/>
          <w:color w:val="auto"/>
          <w:sz w:val="22"/>
          <w:szCs w:val="22"/>
        </w:rPr>
      </w:pPr>
      <w:r>
        <w:rPr>
          <w:rFonts w:hint="eastAsia" w:ascii="宋体" w:hAnsi="宋体" w:eastAsia="宋体" w:cs="宋体"/>
          <w:b/>
          <w:color w:val="auto"/>
          <w:sz w:val="22"/>
          <w:szCs w:val="22"/>
        </w:rPr>
        <w:t>依据：《关于对社会保险领域严重失信企业及其有关人员实施联合惩戒的合作备忘录》</w:t>
      </w:r>
    </w:p>
    <w:p>
      <w:pPr>
        <w:spacing w:line="400" w:lineRule="exact"/>
        <w:jc w:val="left"/>
        <w:rPr>
          <w:rFonts w:hint="eastAsia" w:ascii="宋体" w:hAnsi="宋体" w:eastAsia="宋体" w:cs="宋体"/>
          <w:b/>
          <w:bCs/>
          <w:color w:val="auto"/>
          <w:sz w:val="22"/>
          <w:szCs w:val="22"/>
        </w:rPr>
      </w:pPr>
      <w:r>
        <w:rPr>
          <w:rFonts w:hint="eastAsia" w:ascii="宋体" w:hAnsi="宋体" w:eastAsia="宋体" w:cs="宋体"/>
          <w:b/>
          <w:color w:val="auto"/>
          <w:sz w:val="22"/>
          <w:szCs w:val="22"/>
        </w:rPr>
        <w:t>五、建筑市场领域</w:t>
      </w:r>
      <w:r>
        <w:rPr>
          <w:rFonts w:hint="eastAsia" w:ascii="宋体" w:hAnsi="宋体" w:eastAsia="宋体" w:cs="宋体"/>
          <w:b/>
          <w:bCs/>
          <w:color w:val="auto"/>
          <w:sz w:val="22"/>
          <w:szCs w:val="22"/>
        </w:rPr>
        <w:t>严重失信行为</w:t>
      </w:r>
    </w:p>
    <w:p>
      <w:pPr>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（一）利用虚假材料、以欺骗手段取得企业资质的；</w:t>
      </w:r>
    </w:p>
    <w:p>
      <w:pPr>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（二）发生转包、出借资质，受到行政处罚的；</w:t>
      </w:r>
    </w:p>
    <w:p>
      <w:pPr>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（三）发生重大及以上工程质量安全事故，或1年内累计发生2次及以上较大工程质量安全事故，或发生性质恶劣、危害性严重、社会影响大的较大工程质量安全事故，受到行政处罚的；</w:t>
      </w:r>
    </w:p>
    <w:p>
      <w:pPr>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（四）经法院判决或仲裁机构裁决，认定为拖欠工程款,且拒不履行生效法律文书确定的义务的。</w:t>
      </w:r>
    </w:p>
    <w:p>
      <w:pPr>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各级住房城乡建设主管部门应当参照建筑市场主体“黑名单”，对被人力资源社会保障主管部门列入拖欠农民工工资“黑名单”的建筑市场各方主体加强监管。</w:t>
      </w:r>
    </w:p>
    <w:p>
      <w:pPr>
        <w:spacing w:line="400" w:lineRule="exact"/>
        <w:ind w:firstLine="442" w:firstLineChars="200"/>
        <w:jc w:val="left"/>
        <w:rPr>
          <w:rFonts w:hint="eastAsia" w:ascii="宋体" w:hAnsi="宋体" w:eastAsia="宋体" w:cs="宋体"/>
          <w:color w:val="auto"/>
          <w:sz w:val="22"/>
          <w:szCs w:val="22"/>
        </w:rPr>
      </w:pPr>
      <w:r>
        <w:rPr>
          <w:rFonts w:hint="eastAsia" w:ascii="宋体" w:hAnsi="宋体" w:eastAsia="宋体" w:cs="宋体"/>
          <w:b/>
          <w:color w:val="auto"/>
          <w:sz w:val="22"/>
          <w:szCs w:val="22"/>
        </w:rPr>
        <w:t>依据：《建筑市场信用管理暂行办法》</w:t>
      </w:r>
    </w:p>
    <w:p>
      <w:pPr>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（一）发生较大及以上质量安全事故，造成严重后果的;</w:t>
      </w:r>
    </w:p>
    <w:p>
      <w:pPr>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（二）拖欠工程款造成农民工工资不能按规定支付，经有关机关核实认定后拒不偿还拖欠的;</w:t>
      </w:r>
    </w:p>
    <w:p>
      <w:pPr>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（三）依法应招标的工程未接受住房城乡建设行政主管部门监督或搞场外交易的，在招投标过程中发生围标串标行为的;</w:t>
      </w:r>
    </w:p>
    <w:p>
      <w:pPr>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（四）引起异常、越级、群体上访，影响社会稳定和正常社会秩序，经核实确实存在侵害群众利益行为，造成恶劣社会影响的;</w:t>
      </w:r>
    </w:p>
    <w:p>
      <w:pPr>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（五）对各级建设主管部门行政执法与监督检查中下发执法建议书、隐患整改通知单及处罚决定拒不整改或整改不到位造成较大经济损失或社会不良影响的。</w:t>
      </w:r>
    </w:p>
    <w:p>
      <w:pPr>
        <w:spacing w:line="400" w:lineRule="exact"/>
        <w:ind w:firstLine="442" w:firstLineChars="200"/>
        <w:jc w:val="left"/>
        <w:rPr>
          <w:rFonts w:hint="eastAsia" w:ascii="宋体" w:hAnsi="宋体" w:eastAsia="宋体" w:cs="宋体"/>
          <w:color w:val="auto"/>
          <w:sz w:val="22"/>
          <w:szCs w:val="22"/>
        </w:rPr>
      </w:pPr>
      <w:r>
        <w:rPr>
          <w:rFonts w:hint="eastAsia" w:ascii="宋体" w:hAnsi="宋体" w:eastAsia="宋体" w:cs="宋体"/>
          <w:b/>
          <w:color w:val="auto"/>
          <w:sz w:val="22"/>
          <w:szCs w:val="22"/>
        </w:rPr>
        <w:t>依据：《安徽省建筑市场信用管理暂行办法》</w:t>
      </w:r>
    </w:p>
    <w:p>
      <w:pPr>
        <w:spacing w:line="400" w:lineRule="exact"/>
        <w:ind w:firstLine="442" w:firstLineChars="200"/>
        <w:rPr>
          <w:rFonts w:hint="eastAsia" w:ascii="宋体" w:hAnsi="宋体" w:eastAsia="宋体" w:cs="宋体"/>
          <w:color w:val="auto"/>
          <w:sz w:val="22"/>
          <w:szCs w:val="22"/>
        </w:rPr>
      </w:pPr>
      <w:r>
        <w:rPr>
          <w:rFonts w:hint="eastAsia" w:ascii="宋体" w:hAnsi="宋体" w:eastAsia="宋体" w:cs="宋体"/>
          <w:b/>
          <w:color w:val="auto"/>
          <w:sz w:val="22"/>
          <w:szCs w:val="22"/>
        </w:rPr>
        <w:t>六、政府采购严重失信行为</w:t>
      </w:r>
    </w:p>
    <w:p>
      <w:pPr>
        <w:spacing w:line="400" w:lineRule="exact"/>
        <w:ind w:firstLine="615"/>
        <w:rPr>
          <w:rFonts w:hint="eastAsia" w:ascii="宋体" w:hAnsi="宋体" w:eastAsia="宋体" w:cs="宋体"/>
          <w:color w:val="auto"/>
          <w:sz w:val="22"/>
          <w:szCs w:val="22"/>
        </w:rPr>
      </w:pPr>
      <w:r>
        <w:rPr>
          <w:rFonts w:hint="eastAsia" w:ascii="宋体" w:hAnsi="宋体" w:eastAsia="宋体" w:cs="宋体"/>
          <w:color w:val="auto"/>
          <w:sz w:val="22"/>
          <w:szCs w:val="22"/>
        </w:rPr>
        <w:t>供应商、采购代理机构在三年内受到财政部门作出下列情形之一的行政处罚，列入政府采购严重违法失信行为记录名单。</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　　（一）三万元以上罚款；</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　　（二）在一至三年内禁止参加政府采购活动（处罚期限届满的除外）；</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　　（三）在一至三年内禁止代理政府采购业务（处罚期限届满的除外）；</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　 （四）撤销政府采购代理机构资格（仅针对《政府采购法》第78条修改前作出的处罚决定）。</w:t>
      </w:r>
    </w:p>
    <w:p>
      <w:pPr>
        <w:spacing w:line="40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依据：《关于报送政府采购严重违法失信行为信息记录的通知》</w:t>
      </w:r>
    </w:p>
    <w:p>
      <w:pPr>
        <w:spacing w:line="400" w:lineRule="exact"/>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七、水利建设领域严重失信行为</w:t>
      </w:r>
    </w:p>
    <w:p>
      <w:pPr>
        <w:spacing w:line="400" w:lineRule="exact"/>
        <w:ind w:firstLine="615"/>
        <w:rPr>
          <w:rFonts w:hint="eastAsia" w:ascii="宋体" w:hAnsi="宋体" w:eastAsia="宋体" w:cs="宋体"/>
          <w:color w:val="auto"/>
          <w:sz w:val="22"/>
          <w:szCs w:val="22"/>
        </w:rPr>
      </w:pPr>
      <w:r>
        <w:rPr>
          <w:rFonts w:hint="eastAsia" w:ascii="宋体" w:hAnsi="宋体" w:eastAsia="宋体" w:cs="宋体"/>
          <w:color w:val="auto"/>
          <w:sz w:val="22"/>
          <w:szCs w:val="22"/>
        </w:rPr>
        <w:t>（一）出借、借用资质证书进行投标或承接工程的；</w:t>
      </w:r>
    </w:p>
    <w:p>
      <w:pPr>
        <w:spacing w:line="400" w:lineRule="exact"/>
        <w:ind w:firstLine="615"/>
        <w:rPr>
          <w:rFonts w:hint="eastAsia" w:ascii="宋体" w:hAnsi="宋体" w:eastAsia="宋体" w:cs="宋体"/>
          <w:color w:val="auto"/>
          <w:sz w:val="22"/>
          <w:szCs w:val="22"/>
        </w:rPr>
      </w:pPr>
      <w:r>
        <w:rPr>
          <w:rFonts w:hint="eastAsia" w:ascii="宋体" w:hAnsi="宋体" w:eastAsia="宋体" w:cs="宋体"/>
          <w:color w:val="auto"/>
          <w:sz w:val="22"/>
          <w:szCs w:val="22"/>
        </w:rPr>
        <w:t>（二）围标、串标的；</w:t>
      </w:r>
    </w:p>
    <w:p>
      <w:pPr>
        <w:spacing w:line="400" w:lineRule="exact"/>
        <w:ind w:firstLine="615"/>
        <w:rPr>
          <w:rFonts w:hint="eastAsia" w:ascii="宋体" w:hAnsi="宋体" w:eastAsia="宋体" w:cs="宋体"/>
          <w:color w:val="auto"/>
          <w:sz w:val="22"/>
          <w:szCs w:val="22"/>
        </w:rPr>
      </w:pPr>
      <w:r>
        <w:rPr>
          <w:rFonts w:hint="eastAsia" w:ascii="宋体" w:hAnsi="宋体" w:eastAsia="宋体" w:cs="宋体"/>
          <w:color w:val="auto"/>
          <w:sz w:val="22"/>
          <w:szCs w:val="22"/>
        </w:rPr>
        <w:t>（三）转包或违法分包所承揽工程的；</w:t>
      </w:r>
    </w:p>
    <w:p>
      <w:pPr>
        <w:spacing w:line="400" w:lineRule="exact"/>
        <w:ind w:firstLine="615"/>
        <w:rPr>
          <w:rFonts w:hint="eastAsia" w:ascii="宋体" w:hAnsi="宋体" w:eastAsia="宋体" w:cs="宋体"/>
          <w:color w:val="auto"/>
          <w:sz w:val="22"/>
          <w:szCs w:val="22"/>
        </w:rPr>
      </w:pPr>
      <w:r>
        <w:rPr>
          <w:rFonts w:hint="eastAsia" w:ascii="宋体" w:hAnsi="宋体" w:eastAsia="宋体" w:cs="宋体"/>
          <w:color w:val="auto"/>
          <w:sz w:val="22"/>
          <w:szCs w:val="22"/>
        </w:rPr>
        <w:t>（四）有行贿、受贿违法记录的；</w:t>
      </w:r>
    </w:p>
    <w:p>
      <w:pPr>
        <w:spacing w:line="400" w:lineRule="exact"/>
        <w:ind w:firstLine="615"/>
        <w:rPr>
          <w:rFonts w:hint="eastAsia" w:ascii="宋体" w:hAnsi="宋体" w:eastAsia="宋体" w:cs="宋体"/>
          <w:color w:val="auto"/>
          <w:sz w:val="22"/>
          <w:szCs w:val="22"/>
        </w:rPr>
      </w:pPr>
      <w:r>
        <w:rPr>
          <w:rFonts w:hint="eastAsia" w:ascii="宋体" w:hAnsi="宋体" w:eastAsia="宋体" w:cs="宋体"/>
          <w:color w:val="auto"/>
          <w:sz w:val="22"/>
          <w:szCs w:val="22"/>
        </w:rPr>
        <w:t>（五）对重（特）大质量事故、生产安全事故负有直接责任的；</w:t>
      </w:r>
    </w:p>
    <w:p>
      <w:pPr>
        <w:spacing w:line="400" w:lineRule="exact"/>
        <w:ind w:firstLine="615"/>
        <w:rPr>
          <w:rFonts w:hint="eastAsia" w:ascii="宋体" w:hAnsi="宋体" w:eastAsia="宋体" w:cs="宋体"/>
          <w:color w:val="auto"/>
          <w:sz w:val="22"/>
          <w:szCs w:val="22"/>
        </w:rPr>
      </w:pPr>
      <w:r>
        <w:rPr>
          <w:rFonts w:hint="eastAsia" w:ascii="宋体" w:hAnsi="宋体" w:eastAsia="宋体" w:cs="宋体"/>
          <w:color w:val="auto"/>
          <w:sz w:val="22"/>
          <w:szCs w:val="22"/>
        </w:rPr>
        <w:t>（六）公开信息隐瞒真实情况、弄虚作假的。</w:t>
      </w:r>
    </w:p>
    <w:p>
      <w:pPr>
        <w:spacing w:line="400" w:lineRule="exact"/>
        <w:ind w:firstLine="615"/>
        <w:rPr>
          <w:rFonts w:hint="eastAsia" w:ascii="宋体" w:hAnsi="宋体" w:eastAsia="宋体" w:cs="宋体"/>
          <w:color w:val="auto"/>
          <w:sz w:val="24"/>
          <w:szCs w:val="24"/>
        </w:rPr>
      </w:pPr>
      <w:r>
        <w:rPr>
          <w:rFonts w:hint="eastAsia" w:ascii="宋体" w:hAnsi="宋体" w:eastAsia="宋体" w:cs="宋体"/>
          <w:color w:val="auto"/>
          <w:sz w:val="22"/>
          <w:szCs w:val="22"/>
        </w:rPr>
        <w:t>依据：《水利建设市场主体信用评价管理暂行办法》</w:t>
      </w:r>
    </w:p>
    <w:p>
      <w:pPr>
        <w:ind w:firstLine="615"/>
        <w:rPr>
          <w:rFonts w:hint="eastAsia" w:ascii="宋体" w:hAnsi="宋体" w:eastAsia="宋体" w:cs="宋体"/>
          <w:color w:val="auto"/>
          <w:sz w:val="20"/>
          <w:szCs w:val="22"/>
        </w:rPr>
      </w:pPr>
      <w:r>
        <w:rPr>
          <w:rFonts w:hint="eastAsia" w:ascii="宋体" w:hAnsi="宋体" w:eastAsia="宋体" w:cs="宋体"/>
          <w:b/>
          <w:color w:val="auto"/>
          <w:sz w:val="22"/>
          <w:szCs w:val="22"/>
        </w:rPr>
        <w:t>未列出的其他类别严重失信行为，由</w:t>
      </w:r>
      <w:r>
        <w:rPr>
          <w:rFonts w:hint="eastAsia" w:ascii="宋体" w:hAnsi="宋体" w:eastAsia="宋体" w:cs="宋体"/>
          <w:b/>
          <w:color w:val="auto"/>
          <w:sz w:val="22"/>
          <w:szCs w:val="22"/>
          <w:lang w:eastAsia="zh-CN"/>
        </w:rPr>
        <w:t>采购人</w:t>
      </w:r>
      <w:r>
        <w:rPr>
          <w:rFonts w:hint="eastAsia" w:ascii="宋体" w:hAnsi="宋体" w:eastAsia="宋体" w:cs="宋体"/>
          <w:b/>
          <w:color w:val="auto"/>
          <w:sz w:val="22"/>
          <w:szCs w:val="22"/>
        </w:rPr>
        <w:t>（代理机构）根据各类别行业主管部门下发的联合惩戒文件进行判断。</w:t>
      </w:r>
    </w:p>
    <w:sectPr>
      <w:headerReference r:id="rId10" w:type="default"/>
      <w:footerReference r:id="rId11" w:type="default"/>
      <w:pgSz w:w="11906"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51BFBA-945F-4F22-9139-719026826A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DokChampa">
    <w:panose1 w:val="020B0604020202020204"/>
    <w:charset w:val="DE"/>
    <w:family w:val="swiss"/>
    <w:pitch w:val="default"/>
    <w:sig w:usb0="03000003" w:usb1="00000000" w:usb2="00000000" w:usb3="00000000" w:csb0="4001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Regular">
    <w:altName w:val="Arial"/>
    <w:panose1 w:val="00000000000000000000"/>
    <w:charset w:val="00"/>
    <w:family w:val="auto"/>
    <w:pitch w:val="default"/>
    <w:sig w:usb0="00000000" w:usb1="00000000" w:usb2="00000009" w:usb3="00000000" w:csb0="400001FF" w:csb1="FFFF0000"/>
  </w:font>
  <w:font w:name="Wingdings 2">
    <w:panose1 w:val="05020102010507070707"/>
    <w:charset w:val="02"/>
    <w:family w:val="roman"/>
    <w:pitch w:val="default"/>
    <w:sig w:usb0="00000000" w:usb1="00000000" w:usb2="00000000" w:usb3="00000000" w:csb0="80000000" w:csb1="00000000"/>
    <w:embedRegular r:id="rId2" w:fontKey="{3E61687B-2D9F-4300-ACFB-7AA46E125674}"/>
  </w:font>
  <w:font w:name="微软雅黑">
    <w:panose1 w:val="020B0503020204020204"/>
    <w:charset w:val="86"/>
    <w:family w:val="auto"/>
    <w:pitch w:val="default"/>
    <w:sig w:usb0="80000287" w:usb1="280F3C52" w:usb2="00000016" w:usb3="00000000" w:csb0="0004001F" w:csb1="00000000"/>
    <w:embedRegular r:id="rId3" w:fontKey="{87339F0C-AFE2-4966-9400-209A5C6CD902}"/>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tabs>
        <w:tab w:val="clear" w:pos="4153"/>
        <w:tab w:val="clear" w:pos="8306"/>
      </w:tabs>
      <w:rPr>
        <w:rStyle w:val="38"/>
      </w:rPr>
    </w:pPr>
    <w:r>
      <w:fldChar w:fldCharType="begin"/>
    </w:r>
    <w:r>
      <w:rPr>
        <w:rStyle w:val="38"/>
      </w:rPr>
      <w:instrText xml:space="preserve">PAGE  </w:instrText>
    </w:r>
    <w:r>
      <w:fldChar w:fldCharType="end"/>
    </w:r>
  </w:p>
  <w:p>
    <w:pPr>
      <w:pStyle w:val="25"/>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121"/>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04"/>
    <w:multiLevelType w:val="multilevel"/>
    <w:tmpl w:val="00000004"/>
    <w:lvl w:ilvl="0" w:tentative="0">
      <w:start w:val="1"/>
      <w:numFmt w:val="chineseCountingThousand"/>
      <w:pStyle w:val="32"/>
      <w:lvlText w:val="%1、"/>
      <w:lvlJc w:val="left"/>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multilevel"/>
    <w:tmpl w:val="00000005"/>
    <w:lvl w:ilvl="0" w:tentative="0">
      <w:start w:val="1"/>
      <w:numFmt w:val="chineseCountingThousand"/>
      <w:pStyle w:val="112"/>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3">
    <w:nsid w:val="00000006"/>
    <w:multiLevelType w:val="multilevel"/>
    <w:tmpl w:val="00000006"/>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4">
    <w:nsid w:val="0000000D"/>
    <w:multiLevelType w:val="multilevel"/>
    <w:tmpl w:val="0000000D"/>
    <w:lvl w:ilvl="0" w:tentative="0">
      <w:start w:val="1"/>
      <w:numFmt w:val="decimal"/>
      <w:pStyle w:val="13"/>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
    <w:nsid w:val="0000000E"/>
    <w:multiLevelType w:val="multilevel"/>
    <w:tmpl w:val="0000000E"/>
    <w:lvl w:ilvl="0" w:tentative="0">
      <w:start w:val="1"/>
      <w:numFmt w:val="decimal"/>
      <w:pStyle w:val="29"/>
      <w:lvlText w:val="%1."/>
      <w:lvlJc w:val="left"/>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C692BAE"/>
    <w:multiLevelType w:val="multilevel"/>
    <w:tmpl w:val="4C692BAE"/>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5742954"/>
    <w:multiLevelType w:val="multilevel"/>
    <w:tmpl w:val="75742954"/>
    <w:lvl w:ilvl="0" w:tentative="0">
      <w:start w:val="1"/>
      <w:numFmt w:val="chineseCountingThousand"/>
      <w:pStyle w:val="94"/>
      <w:suff w:val="space"/>
      <w:lvlText w:val="%1、"/>
      <w:lvlJc w:val="left"/>
      <w:pPr>
        <w:ind w:left="425" w:hanging="425"/>
      </w:pPr>
      <w:rPr>
        <w:rFonts w:hint="eastAsia"/>
      </w:rPr>
    </w:lvl>
    <w:lvl w:ilvl="1" w:tentative="0">
      <w:start w:val="1"/>
      <w:numFmt w:val="decimal"/>
      <w:suff w:val="space"/>
      <w:lvlText w:val="%2、"/>
      <w:lvlJc w:val="left"/>
      <w:pPr>
        <w:ind w:left="454" w:hanging="454"/>
      </w:pPr>
      <w:rPr>
        <w:rFonts w:hint="eastAsia"/>
      </w:rPr>
    </w:lvl>
    <w:lvl w:ilvl="2" w:tentative="0">
      <w:start w:val="1"/>
      <w:numFmt w:val="decimal"/>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4"/>
  </w:num>
  <w:num w:numId="3">
    <w:abstractNumId w:val="5"/>
  </w:num>
  <w:num w:numId="4">
    <w:abstractNumId w:val="1"/>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2NjI4NTY0ZTI3ZjYwY2EzYzBmYTY1NWZiYmExOGEifQ=="/>
  </w:docVars>
  <w:rsids>
    <w:rsidRoot w:val="0099746B"/>
    <w:rsid w:val="00015963"/>
    <w:rsid w:val="000311DE"/>
    <w:rsid w:val="000D4650"/>
    <w:rsid w:val="00235D3A"/>
    <w:rsid w:val="002447B6"/>
    <w:rsid w:val="00265045"/>
    <w:rsid w:val="002974FD"/>
    <w:rsid w:val="002C191E"/>
    <w:rsid w:val="003300CD"/>
    <w:rsid w:val="00330717"/>
    <w:rsid w:val="0038316D"/>
    <w:rsid w:val="003E4F57"/>
    <w:rsid w:val="0046242A"/>
    <w:rsid w:val="004D63E1"/>
    <w:rsid w:val="005829C1"/>
    <w:rsid w:val="005851A5"/>
    <w:rsid w:val="005D1FDC"/>
    <w:rsid w:val="007F4230"/>
    <w:rsid w:val="00842C47"/>
    <w:rsid w:val="00875BFA"/>
    <w:rsid w:val="008953F8"/>
    <w:rsid w:val="00905507"/>
    <w:rsid w:val="0092247A"/>
    <w:rsid w:val="0099746B"/>
    <w:rsid w:val="009B0973"/>
    <w:rsid w:val="00A42205"/>
    <w:rsid w:val="00A64530"/>
    <w:rsid w:val="00C66750"/>
    <w:rsid w:val="00D2601F"/>
    <w:rsid w:val="00E75F61"/>
    <w:rsid w:val="00F714A9"/>
    <w:rsid w:val="02D84EB6"/>
    <w:rsid w:val="02DA719F"/>
    <w:rsid w:val="04021D77"/>
    <w:rsid w:val="047D2F51"/>
    <w:rsid w:val="04C9203A"/>
    <w:rsid w:val="069A210C"/>
    <w:rsid w:val="079672F1"/>
    <w:rsid w:val="08D86F1C"/>
    <w:rsid w:val="09F204B1"/>
    <w:rsid w:val="0A3A7CBE"/>
    <w:rsid w:val="0BEE24FD"/>
    <w:rsid w:val="0DCD014B"/>
    <w:rsid w:val="0DF879A7"/>
    <w:rsid w:val="0E41629B"/>
    <w:rsid w:val="0E4E4068"/>
    <w:rsid w:val="0F2243F8"/>
    <w:rsid w:val="0F3637EB"/>
    <w:rsid w:val="0F566DED"/>
    <w:rsid w:val="112C129E"/>
    <w:rsid w:val="115167AE"/>
    <w:rsid w:val="12E12E71"/>
    <w:rsid w:val="133B642F"/>
    <w:rsid w:val="136E758B"/>
    <w:rsid w:val="13B92650"/>
    <w:rsid w:val="149D4B90"/>
    <w:rsid w:val="14E742B6"/>
    <w:rsid w:val="177E73C3"/>
    <w:rsid w:val="181A296D"/>
    <w:rsid w:val="1A132FFC"/>
    <w:rsid w:val="1ACE28D7"/>
    <w:rsid w:val="1C0D32AA"/>
    <w:rsid w:val="1C685B3E"/>
    <w:rsid w:val="1C705992"/>
    <w:rsid w:val="1D994440"/>
    <w:rsid w:val="1DE67874"/>
    <w:rsid w:val="1E93220F"/>
    <w:rsid w:val="1ECC08B2"/>
    <w:rsid w:val="1ED146E2"/>
    <w:rsid w:val="1F7317C2"/>
    <w:rsid w:val="1F754B76"/>
    <w:rsid w:val="203B5FCA"/>
    <w:rsid w:val="20651CA1"/>
    <w:rsid w:val="207F5A0E"/>
    <w:rsid w:val="209E0F6A"/>
    <w:rsid w:val="212619A7"/>
    <w:rsid w:val="213D360E"/>
    <w:rsid w:val="21D92CBD"/>
    <w:rsid w:val="22146A0E"/>
    <w:rsid w:val="22DA5722"/>
    <w:rsid w:val="23011949"/>
    <w:rsid w:val="23AB3753"/>
    <w:rsid w:val="240537C6"/>
    <w:rsid w:val="24400788"/>
    <w:rsid w:val="255D6CCF"/>
    <w:rsid w:val="2686468E"/>
    <w:rsid w:val="28595263"/>
    <w:rsid w:val="29270822"/>
    <w:rsid w:val="29D25D8B"/>
    <w:rsid w:val="29EE439A"/>
    <w:rsid w:val="2A36189D"/>
    <w:rsid w:val="2ACD0A78"/>
    <w:rsid w:val="2BB31CBE"/>
    <w:rsid w:val="2BBA7709"/>
    <w:rsid w:val="2CCC69F5"/>
    <w:rsid w:val="2DA966D4"/>
    <w:rsid w:val="2E8D52F0"/>
    <w:rsid w:val="2EB045FC"/>
    <w:rsid w:val="2F5D712D"/>
    <w:rsid w:val="304E0AA2"/>
    <w:rsid w:val="31585B5F"/>
    <w:rsid w:val="33922A7B"/>
    <w:rsid w:val="33C974B5"/>
    <w:rsid w:val="33EF413C"/>
    <w:rsid w:val="35593408"/>
    <w:rsid w:val="357D4824"/>
    <w:rsid w:val="360C1CB6"/>
    <w:rsid w:val="36270FAB"/>
    <w:rsid w:val="36FD5C1C"/>
    <w:rsid w:val="38312BB1"/>
    <w:rsid w:val="38AF4E76"/>
    <w:rsid w:val="38CF12D0"/>
    <w:rsid w:val="39203C1A"/>
    <w:rsid w:val="396C1F81"/>
    <w:rsid w:val="39BC4148"/>
    <w:rsid w:val="3A9A2930"/>
    <w:rsid w:val="3AC248BA"/>
    <w:rsid w:val="3AEA6CCE"/>
    <w:rsid w:val="3B24042A"/>
    <w:rsid w:val="3C435F6E"/>
    <w:rsid w:val="3CE31E96"/>
    <w:rsid w:val="3DB21199"/>
    <w:rsid w:val="3DDF1C1D"/>
    <w:rsid w:val="3E1371E7"/>
    <w:rsid w:val="3FB90C9C"/>
    <w:rsid w:val="40203060"/>
    <w:rsid w:val="40C72178"/>
    <w:rsid w:val="417666E1"/>
    <w:rsid w:val="422F0BBB"/>
    <w:rsid w:val="42435AB8"/>
    <w:rsid w:val="434827E8"/>
    <w:rsid w:val="43F861F5"/>
    <w:rsid w:val="44E66806"/>
    <w:rsid w:val="45A25F61"/>
    <w:rsid w:val="463E3B5B"/>
    <w:rsid w:val="46497F21"/>
    <w:rsid w:val="469E7BC9"/>
    <w:rsid w:val="46AC0C71"/>
    <w:rsid w:val="46C422B2"/>
    <w:rsid w:val="475C7312"/>
    <w:rsid w:val="48326A7B"/>
    <w:rsid w:val="484A47DD"/>
    <w:rsid w:val="48A76325"/>
    <w:rsid w:val="48C12791"/>
    <w:rsid w:val="48C208E9"/>
    <w:rsid w:val="49F96EAD"/>
    <w:rsid w:val="4AD13C47"/>
    <w:rsid w:val="4AD53563"/>
    <w:rsid w:val="4BA24A03"/>
    <w:rsid w:val="4EE742F1"/>
    <w:rsid w:val="4FFF43EA"/>
    <w:rsid w:val="50116258"/>
    <w:rsid w:val="5013740F"/>
    <w:rsid w:val="50212524"/>
    <w:rsid w:val="54D36316"/>
    <w:rsid w:val="555250C2"/>
    <w:rsid w:val="56123253"/>
    <w:rsid w:val="58B2207B"/>
    <w:rsid w:val="5900361E"/>
    <w:rsid w:val="59E3160A"/>
    <w:rsid w:val="5A905849"/>
    <w:rsid w:val="5B590863"/>
    <w:rsid w:val="5B7F71C5"/>
    <w:rsid w:val="5BB06C8C"/>
    <w:rsid w:val="5BB11CA6"/>
    <w:rsid w:val="5C9D1184"/>
    <w:rsid w:val="5D1F7DEB"/>
    <w:rsid w:val="5DD30137"/>
    <w:rsid w:val="5E5FCB12"/>
    <w:rsid w:val="5E87050B"/>
    <w:rsid w:val="5F31034C"/>
    <w:rsid w:val="5FB64902"/>
    <w:rsid w:val="60595227"/>
    <w:rsid w:val="60D33507"/>
    <w:rsid w:val="614F18F9"/>
    <w:rsid w:val="615C1510"/>
    <w:rsid w:val="619E23A6"/>
    <w:rsid w:val="61FC5AE5"/>
    <w:rsid w:val="620E16FB"/>
    <w:rsid w:val="62B861C5"/>
    <w:rsid w:val="62DF24F6"/>
    <w:rsid w:val="65750EF0"/>
    <w:rsid w:val="665C30B4"/>
    <w:rsid w:val="6890672E"/>
    <w:rsid w:val="68B7124F"/>
    <w:rsid w:val="68F61EB6"/>
    <w:rsid w:val="69B74323"/>
    <w:rsid w:val="69FB57A1"/>
    <w:rsid w:val="6A180D5B"/>
    <w:rsid w:val="6AB02EC8"/>
    <w:rsid w:val="6B0B3A32"/>
    <w:rsid w:val="6BA95681"/>
    <w:rsid w:val="6BE04A5E"/>
    <w:rsid w:val="6CF51F09"/>
    <w:rsid w:val="6D5716BB"/>
    <w:rsid w:val="6D864955"/>
    <w:rsid w:val="6DAE335B"/>
    <w:rsid w:val="6DB97DE8"/>
    <w:rsid w:val="6E1575FF"/>
    <w:rsid w:val="6EE8544A"/>
    <w:rsid w:val="6EF2535F"/>
    <w:rsid w:val="6F402FED"/>
    <w:rsid w:val="706C5C25"/>
    <w:rsid w:val="70ED4ABB"/>
    <w:rsid w:val="71C874F7"/>
    <w:rsid w:val="72000130"/>
    <w:rsid w:val="72951572"/>
    <w:rsid w:val="72977EE9"/>
    <w:rsid w:val="72CA05F3"/>
    <w:rsid w:val="72F24D43"/>
    <w:rsid w:val="73602313"/>
    <w:rsid w:val="73693783"/>
    <w:rsid w:val="75AB6268"/>
    <w:rsid w:val="769F21EF"/>
    <w:rsid w:val="77DE945B"/>
    <w:rsid w:val="782C7E18"/>
    <w:rsid w:val="786B1CDE"/>
    <w:rsid w:val="78AF2513"/>
    <w:rsid w:val="78FF6FF6"/>
    <w:rsid w:val="7A2A71C1"/>
    <w:rsid w:val="7A7A2579"/>
    <w:rsid w:val="7A7E1627"/>
    <w:rsid w:val="7D651C73"/>
    <w:rsid w:val="7E21356B"/>
    <w:rsid w:val="7E7E5E60"/>
    <w:rsid w:val="7F3E09B9"/>
    <w:rsid w:val="7FAA7DF6"/>
    <w:rsid w:val="7FCFB294"/>
    <w:rsid w:val="7FDB6E5C"/>
    <w:rsid w:val="97F33B4E"/>
    <w:rsid w:val="9F3545C6"/>
    <w:rsid w:val="BBFD3C0E"/>
    <w:rsid w:val="DE4425B6"/>
    <w:rsid w:val="DF25359D"/>
    <w:rsid w:val="DF7B5D9F"/>
    <w:rsid w:val="E4E322E8"/>
    <w:rsid w:val="E77F8898"/>
    <w:rsid w:val="EAF4DC4E"/>
    <w:rsid w:val="EBEFF0DB"/>
    <w:rsid w:val="EFF36A7A"/>
    <w:rsid w:val="F5FFC8A1"/>
    <w:rsid w:val="FEB58BDB"/>
    <w:rsid w:val="FFF7A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99"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4"/>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88"/>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1"/>
    <w:link w:val="54"/>
    <w:qFormat/>
    <w:uiPriority w:val="0"/>
    <w:pPr>
      <w:keepNext/>
      <w:keepLines/>
      <w:spacing w:before="260" w:after="260" w:line="416" w:lineRule="atLeast"/>
      <w:textAlignment w:val="baseline"/>
      <w:outlineLvl w:val="2"/>
    </w:pPr>
    <w:rPr>
      <w:b/>
      <w:bCs/>
      <w:color w:val="000000"/>
      <w:sz w:val="32"/>
      <w:szCs w:val="32"/>
      <w:u w:color="000000"/>
    </w:rPr>
  </w:style>
  <w:style w:type="paragraph" w:styleId="9">
    <w:name w:val="heading 4"/>
    <w:basedOn w:val="1"/>
    <w:next w:val="1"/>
    <w:link w:val="65"/>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color="000000"/>
    </w:rPr>
  </w:style>
  <w:style w:type="paragraph" w:styleId="10">
    <w:name w:val="heading 5"/>
    <w:basedOn w:val="1"/>
    <w:next w:val="1"/>
    <w:link w:val="66"/>
    <w:qFormat/>
    <w:uiPriority w:val="0"/>
    <w:pPr>
      <w:keepNext/>
      <w:keepLines/>
      <w:spacing w:before="280" w:after="290" w:line="376" w:lineRule="auto"/>
      <w:outlineLvl w:val="4"/>
    </w:pPr>
    <w:rPr>
      <w:b/>
      <w:bCs/>
      <w:sz w:val="28"/>
      <w:szCs w:val="28"/>
    </w:rPr>
  </w:style>
  <w:style w:type="paragraph" w:styleId="11">
    <w:name w:val="heading 6"/>
    <w:basedOn w:val="1"/>
    <w:next w:val="1"/>
    <w:link w:val="83"/>
    <w:qFormat/>
    <w:uiPriority w:val="0"/>
    <w:pPr>
      <w:keepNext/>
      <w:keepLines/>
      <w:spacing w:before="240" w:after="64" w:line="320" w:lineRule="auto"/>
      <w:outlineLvl w:val="5"/>
    </w:pPr>
    <w:rPr>
      <w:rFonts w:ascii="Cambria" w:hAnsi="Cambria"/>
      <w:b/>
      <w:bCs/>
      <w:sz w:val="24"/>
    </w:rPr>
  </w:style>
  <w:style w:type="paragraph" w:styleId="12">
    <w:name w:val="heading 7"/>
    <w:basedOn w:val="1"/>
    <w:next w:val="1"/>
    <w:link w:val="64"/>
    <w:qFormat/>
    <w:uiPriority w:val="0"/>
    <w:pPr>
      <w:keepNext/>
      <w:keepLines/>
      <w:spacing w:before="240" w:after="64" w:line="320" w:lineRule="auto"/>
      <w:outlineLvl w:val="6"/>
    </w:pPr>
    <w:rPr>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2"/>
    <w:qFormat/>
    <w:uiPriority w:val="0"/>
    <w:pPr>
      <w:ind w:left="420" w:firstLine="420" w:firstLineChars="200"/>
    </w:pPr>
  </w:style>
  <w:style w:type="paragraph" w:styleId="3">
    <w:name w:val="Body Text Indent"/>
    <w:basedOn w:val="1"/>
    <w:next w:val="4"/>
    <w:link w:val="101"/>
    <w:qFormat/>
    <w:uiPriority w:val="0"/>
    <w:pPr>
      <w:spacing w:after="120"/>
      <w:ind w:left="20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0"/>
    <w:pPr>
      <w:ind w:left="1260"/>
      <w:jc w:val="left"/>
    </w:pPr>
    <w:rPr>
      <w:rFonts w:ascii="Times New Roman" w:hAnsi="Times New Roman" w:cs="Times New Roman"/>
      <w:sz w:val="18"/>
      <w:szCs w:val="18"/>
    </w:rPr>
  </w:style>
  <w:style w:type="paragraph" w:styleId="13">
    <w:name w:val="List Number 2"/>
    <w:basedOn w:val="1"/>
    <w:qFormat/>
    <w:uiPriority w:val="0"/>
    <w:pPr>
      <w:numPr>
        <w:ilvl w:val="0"/>
        <w:numId w:val="2"/>
      </w:numPr>
      <w:tabs>
        <w:tab w:val="left" w:pos="567"/>
      </w:tabs>
      <w:adjustRightInd w:val="0"/>
      <w:spacing w:line="300" w:lineRule="auto"/>
      <w:textAlignment w:val="baseline"/>
    </w:pPr>
    <w:rPr>
      <w:kern w:val="0"/>
      <w:sz w:val="28"/>
      <w:szCs w:val="20"/>
    </w:rPr>
  </w:style>
  <w:style w:type="paragraph" w:styleId="14">
    <w:name w:val="table of authorities"/>
    <w:next w:val="1"/>
    <w:qFormat/>
    <w:uiPriority w:val="0"/>
    <w:pPr>
      <w:widowControl w:val="0"/>
      <w:ind w:left="420" w:leftChars="200"/>
      <w:jc w:val="both"/>
    </w:pPr>
    <w:rPr>
      <w:rFonts w:ascii="Calibri" w:hAnsi="Calibri" w:eastAsia="宋体" w:cs="Times New Roman"/>
      <w:kern w:val="2"/>
      <w:sz w:val="32"/>
      <w:lang w:val="en-US" w:eastAsia="zh-CN" w:bidi="ar-SA"/>
    </w:rPr>
  </w:style>
  <w:style w:type="paragraph" w:styleId="15">
    <w:name w:val="Normal Indent"/>
    <w:basedOn w:val="1"/>
    <w:link w:val="67"/>
    <w:qFormat/>
    <w:uiPriority w:val="0"/>
    <w:pPr>
      <w:adjustRightInd w:val="0"/>
      <w:spacing w:line="360" w:lineRule="atLeast"/>
      <w:ind w:firstLine="482"/>
      <w:textAlignment w:val="baseline"/>
    </w:pPr>
    <w:rPr>
      <w:kern w:val="0"/>
      <w:sz w:val="24"/>
      <w:szCs w:val="20"/>
    </w:rPr>
  </w:style>
  <w:style w:type="paragraph" w:styleId="16">
    <w:name w:val="Document Map"/>
    <w:basedOn w:val="1"/>
    <w:qFormat/>
    <w:uiPriority w:val="0"/>
    <w:pPr>
      <w:shd w:val="clear" w:color="auto" w:fill="000080"/>
    </w:pPr>
  </w:style>
  <w:style w:type="paragraph" w:styleId="17">
    <w:name w:val="toa heading"/>
    <w:basedOn w:val="1"/>
    <w:next w:val="1"/>
    <w:qFormat/>
    <w:uiPriority w:val="0"/>
    <w:pPr>
      <w:spacing w:before="120"/>
    </w:pPr>
    <w:rPr>
      <w:rFonts w:ascii="Arial" w:hAnsi="Arial" w:eastAsia="宋体" w:cs="Times New Roman"/>
      <w:sz w:val="24"/>
    </w:rPr>
  </w:style>
  <w:style w:type="paragraph" w:styleId="18">
    <w:name w:val="annotation text"/>
    <w:basedOn w:val="1"/>
    <w:link w:val="95"/>
    <w:qFormat/>
    <w:uiPriority w:val="99"/>
    <w:pPr>
      <w:jc w:val="left"/>
    </w:pPr>
  </w:style>
  <w:style w:type="paragraph" w:styleId="19">
    <w:name w:val="Body Text"/>
    <w:basedOn w:val="1"/>
    <w:next w:val="20"/>
    <w:link w:val="93"/>
    <w:qFormat/>
    <w:uiPriority w:val="0"/>
    <w:pPr>
      <w:spacing w:after="120"/>
    </w:pPr>
  </w:style>
  <w:style w:type="paragraph" w:customStyle="1" w:styleId="20">
    <w:name w:val="_Style 2"/>
    <w:basedOn w:val="1"/>
    <w:next w:val="1"/>
    <w:qFormat/>
    <w:uiPriority w:val="0"/>
  </w:style>
  <w:style w:type="paragraph" w:styleId="21">
    <w:name w:val="Plain Text"/>
    <w:basedOn w:val="1"/>
    <w:next w:val="1"/>
    <w:link w:val="100"/>
    <w:qFormat/>
    <w:uiPriority w:val="0"/>
    <w:rPr>
      <w:rFonts w:ascii="宋体"/>
      <w:color w:val="000000"/>
      <w:szCs w:val="20"/>
      <w:u w:color="000000"/>
    </w:rPr>
  </w:style>
  <w:style w:type="paragraph" w:styleId="22">
    <w:name w:val="Date"/>
    <w:basedOn w:val="1"/>
    <w:next w:val="1"/>
    <w:link w:val="106"/>
    <w:qFormat/>
    <w:uiPriority w:val="0"/>
    <w:rPr>
      <w:rFonts w:ascii="Arial" w:hAnsi="Arial" w:eastAsia="仿宋_GB2312"/>
      <w:color w:val="000000"/>
      <w:sz w:val="32"/>
      <w:szCs w:val="20"/>
      <w:u w:color="000000"/>
    </w:rPr>
  </w:style>
  <w:style w:type="paragraph" w:styleId="23">
    <w:name w:val="Body Text Indent 2"/>
    <w:basedOn w:val="1"/>
    <w:link w:val="97"/>
    <w:qFormat/>
    <w:uiPriority w:val="0"/>
    <w:pPr>
      <w:spacing w:after="120" w:line="480" w:lineRule="auto"/>
      <w:ind w:left="420" w:leftChars="200"/>
    </w:pPr>
  </w:style>
  <w:style w:type="paragraph" w:styleId="24">
    <w:name w:val="Balloon Text"/>
    <w:basedOn w:val="1"/>
    <w:link w:val="107"/>
    <w:qFormat/>
    <w:uiPriority w:val="0"/>
    <w:rPr>
      <w:sz w:val="18"/>
      <w:szCs w:val="18"/>
    </w:rPr>
  </w:style>
  <w:style w:type="paragraph" w:styleId="25">
    <w:name w:val="footer"/>
    <w:basedOn w:val="1"/>
    <w:link w:val="111"/>
    <w:qFormat/>
    <w:uiPriority w:val="99"/>
    <w:pPr>
      <w:tabs>
        <w:tab w:val="center" w:pos="4153"/>
        <w:tab w:val="right" w:pos="8306"/>
      </w:tabs>
      <w:snapToGrid w:val="0"/>
      <w:jc w:val="left"/>
    </w:pPr>
    <w:rPr>
      <w:sz w:val="18"/>
      <w:szCs w:val="18"/>
    </w:rPr>
  </w:style>
  <w:style w:type="paragraph" w:styleId="26">
    <w:name w:val="header"/>
    <w:basedOn w:val="1"/>
    <w:link w:val="108"/>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List Continue 4"/>
    <w:basedOn w:val="1"/>
    <w:qFormat/>
    <w:uiPriority w:val="99"/>
    <w:pPr>
      <w:spacing w:after="120"/>
      <w:ind w:left="1680" w:leftChars="800"/>
      <w:contextualSpacing/>
    </w:pPr>
  </w:style>
  <w:style w:type="paragraph" w:styleId="29">
    <w:name w:val="Subtitle"/>
    <w:basedOn w:val="1"/>
    <w:next w:val="1"/>
    <w:link w:val="98"/>
    <w:qFormat/>
    <w:uiPriority w:val="0"/>
    <w:pPr>
      <w:numPr>
        <w:ilvl w:val="0"/>
        <w:numId w:val="3"/>
      </w:numPr>
      <w:spacing w:line="360" w:lineRule="auto"/>
      <w:jc w:val="left"/>
      <w:outlineLvl w:val="1"/>
    </w:pPr>
    <w:rPr>
      <w:rFonts w:ascii="Calibri Light" w:hAnsi="Calibri Light"/>
      <w:bCs/>
      <w:kern w:val="28"/>
      <w:szCs w:val="32"/>
    </w:rPr>
  </w:style>
  <w:style w:type="paragraph" w:styleId="30">
    <w:name w:val="List"/>
    <w:basedOn w:val="1"/>
    <w:next w:val="1"/>
    <w:qFormat/>
    <w:uiPriority w:val="0"/>
    <w:pPr>
      <w:ind w:left="420" w:hanging="420"/>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2">
    <w:name w:val="Title"/>
    <w:basedOn w:val="1"/>
    <w:next w:val="1"/>
    <w:link w:val="102"/>
    <w:qFormat/>
    <w:uiPriority w:val="0"/>
    <w:pPr>
      <w:numPr>
        <w:ilvl w:val="0"/>
        <w:numId w:val="4"/>
      </w:numPr>
      <w:spacing w:line="360" w:lineRule="auto"/>
      <w:jc w:val="left"/>
      <w:outlineLvl w:val="0"/>
    </w:pPr>
    <w:rPr>
      <w:rFonts w:ascii="Cambria" w:hAnsi="Cambria"/>
      <w:b/>
      <w:bCs/>
      <w:sz w:val="28"/>
      <w:szCs w:val="32"/>
    </w:rPr>
  </w:style>
  <w:style w:type="paragraph" w:styleId="33">
    <w:name w:val="annotation subject"/>
    <w:basedOn w:val="18"/>
    <w:next w:val="18"/>
    <w:link w:val="96"/>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rPr>
  </w:style>
  <w:style w:type="character" w:styleId="38">
    <w:name w:val="page number"/>
    <w:basedOn w:val="36"/>
    <w:qFormat/>
    <w:uiPriority w:val="0"/>
  </w:style>
  <w:style w:type="character" w:styleId="39">
    <w:name w:val="FollowedHyperlink"/>
    <w:basedOn w:val="36"/>
    <w:qFormat/>
    <w:uiPriority w:val="99"/>
    <w:rPr>
      <w:color w:val="800080"/>
      <w:u w:val="single"/>
    </w:rPr>
  </w:style>
  <w:style w:type="character" w:styleId="40">
    <w:name w:val="Emphasis"/>
    <w:qFormat/>
    <w:uiPriority w:val="20"/>
    <w:rPr>
      <w:i/>
      <w:iCs/>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rPr>
      <w:color w:val="333333"/>
      <w:sz w:val="21"/>
      <w:szCs w:val="21"/>
      <w:shd w:val="clear" w:color="auto" w:fill="F8F8F8"/>
    </w:rPr>
  </w:style>
  <w:style w:type="character" w:styleId="44">
    <w:name w:val="HTML Variable"/>
    <w:basedOn w:val="36"/>
    <w:qFormat/>
    <w:uiPriority w:val="0"/>
  </w:style>
  <w:style w:type="character" w:styleId="45">
    <w:name w:val="Hyperlink"/>
    <w:qFormat/>
    <w:uiPriority w:val="99"/>
    <w:rPr>
      <w:color w:val="333333"/>
      <w:u w:val="non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99"/>
    <w:rPr>
      <w:sz w:val="21"/>
      <w:szCs w:val="21"/>
    </w:rPr>
  </w:style>
  <w:style w:type="character" w:styleId="48">
    <w:name w:val="HTML Cite"/>
    <w:basedOn w:val="36"/>
    <w:qFormat/>
    <w:uiPriority w:val="0"/>
  </w:style>
  <w:style w:type="character" w:styleId="49">
    <w:name w:val="HTML Keyboard"/>
    <w:basedOn w:val="36"/>
    <w:qFormat/>
    <w:uiPriority w:val="0"/>
    <w:rPr>
      <w:rFonts w:ascii="monospace" w:hAnsi="monospace" w:eastAsia="monospace" w:cs="monospace"/>
      <w:sz w:val="20"/>
    </w:rPr>
  </w:style>
  <w:style w:type="character" w:styleId="50">
    <w:name w:val="HTML Sample"/>
    <w:basedOn w:val="36"/>
    <w:qFormat/>
    <w:uiPriority w:val="0"/>
    <w:rPr>
      <w:rFonts w:hint="default" w:ascii="monospace" w:hAnsi="monospace" w:eastAsia="monospace" w:cs="monospace"/>
    </w:rPr>
  </w:style>
  <w:style w:type="paragraph" w:customStyle="1" w:styleId="51">
    <w:name w:val="正文 New"/>
    <w:qFormat/>
    <w:uiPriority w:val="99"/>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character" w:customStyle="1" w:styleId="52">
    <w:name w:val="标题 1 Char"/>
    <w:basedOn w:val="36"/>
    <w:qFormat/>
    <w:uiPriority w:val="9"/>
    <w:rPr>
      <w:b/>
      <w:bCs/>
      <w:kern w:val="44"/>
      <w:sz w:val="44"/>
      <w:szCs w:val="44"/>
    </w:rPr>
  </w:style>
  <w:style w:type="character" w:customStyle="1" w:styleId="53">
    <w:name w:val="标题 2 Char"/>
    <w:basedOn w:val="36"/>
    <w:qFormat/>
    <w:uiPriority w:val="9"/>
    <w:rPr>
      <w:rFonts w:ascii="Cambria" w:hAnsi="Cambria" w:eastAsia="宋体" w:cs="宋体"/>
      <w:b/>
      <w:bCs/>
      <w:kern w:val="2"/>
      <w:sz w:val="32"/>
      <w:szCs w:val="32"/>
    </w:rPr>
  </w:style>
  <w:style w:type="character" w:customStyle="1" w:styleId="54">
    <w:name w:val="标题 3 字符"/>
    <w:basedOn w:val="36"/>
    <w:link w:val="8"/>
    <w:qFormat/>
    <w:uiPriority w:val="0"/>
    <w:rPr>
      <w:b/>
      <w:bCs/>
      <w:color w:val="000000"/>
      <w:sz w:val="32"/>
      <w:szCs w:val="32"/>
      <w:u w:color="000000"/>
    </w:rPr>
  </w:style>
  <w:style w:type="character" w:customStyle="1" w:styleId="55">
    <w:name w:val="标题 4 Char"/>
    <w:basedOn w:val="36"/>
    <w:qFormat/>
    <w:uiPriority w:val="9"/>
    <w:rPr>
      <w:rFonts w:ascii="Cambria" w:hAnsi="Cambria" w:eastAsia="宋体" w:cs="宋体"/>
      <w:b/>
      <w:bCs/>
      <w:kern w:val="2"/>
      <w:sz w:val="28"/>
      <w:szCs w:val="28"/>
    </w:rPr>
  </w:style>
  <w:style w:type="character" w:customStyle="1" w:styleId="56">
    <w:name w:val="标题 5 Char"/>
    <w:basedOn w:val="36"/>
    <w:qFormat/>
    <w:uiPriority w:val="9"/>
    <w:rPr>
      <w:b/>
      <w:bCs/>
      <w:kern w:val="2"/>
      <w:sz w:val="28"/>
      <w:szCs w:val="28"/>
    </w:rPr>
  </w:style>
  <w:style w:type="character" w:customStyle="1" w:styleId="57">
    <w:name w:val="标题 6 Char"/>
    <w:basedOn w:val="36"/>
    <w:qFormat/>
    <w:uiPriority w:val="9"/>
    <w:rPr>
      <w:rFonts w:ascii="Cambria" w:hAnsi="Cambria" w:eastAsia="宋体" w:cs="宋体"/>
      <w:b/>
      <w:bCs/>
      <w:kern w:val="2"/>
      <w:sz w:val="24"/>
      <w:szCs w:val="24"/>
    </w:rPr>
  </w:style>
  <w:style w:type="character" w:customStyle="1" w:styleId="58">
    <w:name w:val="标题 7 Char"/>
    <w:basedOn w:val="36"/>
    <w:qFormat/>
    <w:uiPriority w:val="9"/>
    <w:rPr>
      <w:b/>
      <w:bCs/>
      <w:kern w:val="2"/>
      <w:sz w:val="24"/>
      <w:szCs w:val="24"/>
    </w:rPr>
  </w:style>
  <w:style w:type="character" w:customStyle="1" w:styleId="59">
    <w:name w:val="图表 Char"/>
    <w:link w:val="60"/>
    <w:qFormat/>
    <w:uiPriority w:val="0"/>
    <w:rPr>
      <w:kern w:val="2"/>
      <w:sz w:val="21"/>
      <w:szCs w:val="21"/>
      <w:lang w:val="en-US" w:eastAsia="zh-CN"/>
    </w:rPr>
  </w:style>
  <w:style w:type="paragraph" w:customStyle="1" w:styleId="60">
    <w:name w:val="图表"/>
    <w:basedOn w:val="1"/>
    <w:next w:val="1"/>
    <w:link w:val="59"/>
    <w:qFormat/>
    <w:uiPriority w:val="0"/>
    <w:pPr>
      <w:jc w:val="center"/>
    </w:pPr>
    <w:rPr>
      <w:szCs w:val="21"/>
    </w:rPr>
  </w:style>
  <w:style w:type="paragraph" w:customStyle="1" w:styleId="61">
    <w:name w:val="_Style 19"/>
    <w:basedOn w:val="1"/>
    <w:next w:val="62"/>
    <w:qFormat/>
    <w:uiPriority w:val="0"/>
    <w:pPr>
      <w:spacing w:line="360" w:lineRule="auto"/>
      <w:ind w:firstLine="420" w:firstLineChars="200"/>
    </w:pPr>
    <w:rPr>
      <w:rFonts w:ascii="宋体" w:hAnsi="宋体" w:cs="宋体"/>
      <w:sz w:val="24"/>
    </w:rPr>
  </w:style>
  <w:style w:type="paragraph" w:customStyle="1" w:styleId="62">
    <w:name w:val="列表段落1"/>
    <w:basedOn w:val="1"/>
    <w:qFormat/>
    <w:uiPriority w:val="34"/>
    <w:pPr>
      <w:ind w:firstLine="420" w:firstLineChars="200"/>
    </w:pPr>
  </w:style>
  <w:style w:type="character" w:customStyle="1" w:styleId="63">
    <w:name w:val="正文文本缩进 Char1"/>
    <w:qFormat/>
    <w:uiPriority w:val="0"/>
    <w:rPr>
      <w:kern w:val="2"/>
      <w:sz w:val="21"/>
      <w:szCs w:val="24"/>
    </w:rPr>
  </w:style>
  <w:style w:type="character" w:customStyle="1" w:styleId="64">
    <w:name w:val="标题 7 字符"/>
    <w:link w:val="12"/>
    <w:qFormat/>
    <w:uiPriority w:val="0"/>
    <w:rPr>
      <w:b/>
      <w:bCs/>
      <w:kern w:val="2"/>
      <w:sz w:val="24"/>
      <w:szCs w:val="24"/>
    </w:rPr>
  </w:style>
  <w:style w:type="character" w:customStyle="1" w:styleId="65">
    <w:name w:val="标题 4 字符"/>
    <w:link w:val="9"/>
    <w:qFormat/>
    <w:uiPriority w:val="0"/>
    <w:rPr>
      <w:rFonts w:ascii="Arial" w:hAnsi="Arial" w:eastAsia="黑体"/>
      <w:b/>
      <w:bCs/>
      <w:color w:val="000000"/>
      <w:sz w:val="28"/>
      <w:szCs w:val="28"/>
      <w:u w:color="000000"/>
    </w:rPr>
  </w:style>
  <w:style w:type="character" w:customStyle="1" w:styleId="66">
    <w:name w:val="标题 5 字符"/>
    <w:link w:val="10"/>
    <w:qFormat/>
    <w:uiPriority w:val="0"/>
    <w:rPr>
      <w:b/>
      <w:bCs/>
      <w:kern w:val="2"/>
      <w:sz w:val="28"/>
      <w:szCs w:val="28"/>
    </w:rPr>
  </w:style>
  <w:style w:type="character" w:customStyle="1" w:styleId="67">
    <w:name w:val="正文缩进 字符"/>
    <w:link w:val="15"/>
    <w:qFormat/>
    <w:uiPriority w:val="0"/>
    <w:rPr>
      <w:sz w:val="24"/>
    </w:rPr>
  </w:style>
  <w:style w:type="character" w:customStyle="1" w:styleId="68">
    <w:name w:val="页脚 Char1"/>
    <w:qFormat/>
    <w:uiPriority w:val="99"/>
    <w:rPr>
      <w:kern w:val="2"/>
      <w:sz w:val="18"/>
      <w:szCs w:val="18"/>
    </w:rPr>
  </w:style>
  <w:style w:type="character" w:customStyle="1" w:styleId="69">
    <w:name w:val="displayarti"/>
    <w:qFormat/>
    <w:uiPriority w:val="0"/>
    <w:rPr>
      <w:color w:val="FFFFFF"/>
      <w:shd w:val="clear" w:color="auto" w:fill="A00000"/>
    </w:rPr>
  </w:style>
  <w:style w:type="character" w:customStyle="1" w:styleId="70">
    <w:name w:val="gpa"/>
    <w:qFormat/>
    <w:uiPriority w:val="0"/>
    <w:rPr>
      <w:rFonts w:ascii="Arial" w:hAnsi="Arial" w:cs="Arial"/>
      <w:sz w:val="15"/>
      <w:szCs w:val="15"/>
    </w:rPr>
  </w:style>
  <w:style w:type="character" w:customStyle="1" w:styleId="71">
    <w:name w:val="批注主题 Char1"/>
    <w:qFormat/>
    <w:uiPriority w:val="0"/>
    <w:rPr>
      <w:b/>
      <w:bCs/>
      <w:kern w:val="2"/>
      <w:sz w:val="21"/>
      <w:szCs w:val="24"/>
    </w:rPr>
  </w:style>
  <w:style w:type="character" w:customStyle="1" w:styleId="72">
    <w:name w:val="批注文字 字符"/>
    <w:qFormat/>
    <w:uiPriority w:val="99"/>
    <w:rPr>
      <w:kern w:val="2"/>
      <w:sz w:val="21"/>
      <w:szCs w:val="24"/>
    </w:rPr>
  </w:style>
  <w:style w:type="character" w:customStyle="1" w:styleId="73">
    <w:name w:val="列出段落 字符"/>
    <w:qFormat/>
    <w:uiPriority w:val="0"/>
    <w:rPr>
      <w:sz w:val="24"/>
    </w:rPr>
  </w:style>
  <w:style w:type="character" w:customStyle="1" w:styleId="74">
    <w:name w:val="标题 1 字符"/>
    <w:link w:val="6"/>
    <w:qFormat/>
    <w:uiPriority w:val="9"/>
    <w:rPr>
      <w:b/>
      <w:bCs/>
      <w:kern w:val="44"/>
      <w:sz w:val="44"/>
      <w:szCs w:val="44"/>
    </w:rPr>
  </w:style>
  <w:style w:type="character" w:customStyle="1" w:styleId="75">
    <w:name w:val="3正文 Char"/>
    <w:link w:val="76"/>
    <w:qFormat/>
    <w:uiPriority w:val="0"/>
    <w:rPr>
      <w:kern w:val="2"/>
      <w:sz w:val="28"/>
      <w:szCs w:val="24"/>
    </w:rPr>
  </w:style>
  <w:style w:type="paragraph" w:customStyle="1" w:styleId="76">
    <w:name w:val="3正文"/>
    <w:basedOn w:val="1"/>
    <w:link w:val="75"/>
    <w:qFormat/>
    <w:uiPriority w:val="0"/>
    <w:pPr>
      <w:spacing w:line="560" w:lineRule="exact"/>
      <w:ind w:firstLine="200" w:firstLineChars="200"/>
    </w:pPr>
    <w:rPr>
      <w:sz w:val="28"/>
    </w:rPr>
  </w:style>
  <w:style w:type="character" w:customStyle="1" w:styleId="77">
    <w:name w:val="apple-converted-space"/>
    <w:basedOn w:val="36"/>
    <w:qFormat/>
    <w:uiPriority w:val="0"/>
  </w:style>
  <w:style w:type="character" w:customStyle="1" w:styleId="78">
    <w:name w:val="【正文】 Char"/>
    <w:link w:val="79"/>
    <w:qFormat/>
    <w:uiPriority w:val="0"/>
    <w:rPr>
      <w:rFonts w:cs="DokChampa"/>
      <w:kern w:val="2"/>
      <w:sz w:val="24"/>
      <w:szCs w:val="22"/>
    </w:rPr>
  </w:style>
  <w:style w:type="paragraph" w:customStyle="1" w:styleId="79">
    <w:name w:val="【正文】"/>
    <w:basedOn w:val="1"/>
    <w:link w:val="78"/>
    <w:qFormat/>
    <w:uiPriority w:val="0"/>
    <w:pPr>
      <w:spacing w:line="360" w:lineRule="auto"/>
      <w:ind w:firstLine="480" w:firstLineChars="200"/>
    </w:pPr>
    <w:rPr>
      <w:rFonts w:cs="DokChampa"/>
      <w:sz w:val="24"/>
      <w:szCs w:val="22"/>
    </w:rPr>
  </w:style>
  <w:style w:type="character" w:customStyle="1" w:styleId="80">
    <w:name w:val="日期 Char1"/>
    <w:qFormat/>
    <w:uiPriority w:val="0"/>
    <w:rPr>
      <w:rFonts w:ascii="Arial" w:hAnsi="Arial" w:eastAsia="仿宋_GB2312"/>
      <w:color w:val="000000"/>
      <w:kern w:val="2"/>
      <w:sz w:val="32"/>
      <w:u w:color="000000"/>
    </w:rPr>
  </w:style>
  <w:style w:type="character" w:customStyle="1" w:styleId="81">
    <w:name w:val="批注框文本 Char1"/>
    <w:qFormat/>
    <w:uiPriority w:val="0"/>
    <w:rPr>
      <w:kern w:val="2"/>
      <w:sz w:val="18"/>
      <w:szCs w:val="18"/>
    </w:rPr>
  </w:style>
  <w:style w:type="character" w:customStyle="1" w:styleId="82">
    <w:name w:val="19"/>
    <w:qFormat/>
    <w:uiPriority w:val="0"/>
    <w:rPr>
      <w:rFonts w:hint="eastAsia" w:ascii="宋体" w:hAnsi="宋体" w:eastAsia="宋体"/>
      <w:color w:val="000000"/>
      <w:sz w:val="20"/>
      <w:szCs w:val="20"/>
    </w:rPr>
  </w:style>
  <w:style w:type="character" w:customStyle="1" w:styleId="83">
    <w:name w:val="标题 6 字符"/>
    <w:link w:val="11"/>
    <w:qFormat/>
    <w:uiPriority w:val="0"/>
    <w:rPr>
      <w:rFonts w:ascii="Cambria" w:hAnsi="Cambria"/>
      <w:b/>
      <w:bCs/>
      <w:kern w:val="2"/>
      <w:sz w:val="24"/>
      <w:szCs w:val="24"/>
    </w:rPr>
  </w:style>
  <w:style w:type="character" w:customStyle="1" w:styleId="84">
    <w:name w:val="正文文本缩进 2 Char1"/>
    <w:qFormat/>
    <w:uiPriority w:val="0"/>
    <w:rPr>
      <w:kern w:val="2"/>
      <w:sz w:val="21"/>
      <w:szCs w:val="24"/>
    </w:rPr>
  </w:style>
  <w:style w:type="character" w:customStyle="1" w:styleId="85">
    <w:name w:val="列出段落 Char"/>
    <w:link w:val="86"/>
    <w:qFormat/>
    <w:uiPriority w:val="0"/>
    <w:rPr>
      <w:rFonts w:ascii="Calibri" w:hAnsi="Calibri"/>
      <w:kern w:val="2"/>
      <w:sz w:val="21"/>
      <w:szCs w:val="22"/>
    </w:rPr>
  </w:style>
  <w:style w:type="paragraph" w:customStyle="1" w:styleId="86">
    <w:name w:val="List Paragraph1"/>
    <w:basedOn w:val="1"/>
    <w:link w:val="85"/>
    <w:qFormat/>
    <w:uiPriority w:val="0"/>
    <w:pPr>
      <w:spacing w:line="312" w:lineRule="auto"/>
      <w:ind w:firstLine="420" w:firstLineChars="200"/>
    </w:pPr>
    <w:rPr>
      <w:rFonts w:ascii="Calibri" w:hAnsi="Calibri"/>
      <w:szCs w:val="22"/>
    </w:rPr>
  </w:style>
  <w:style w:type="character" w:customStyle="1" w:styleId="87">
    <w:name w:val="纯文本 Char2"/>
    <w:qFormat/>
    <w:uiPriority w:val="0"/>
    <w:rPr>
      <w:rFonts w:ascii="宋体"/>
      <w:color w:val="000000"/>
      <w:kern w:val="2"/>
      <w:sz w:val="21"/>
      <w:u w:color="000000"/>
    </w:rPr>
  </w:style>
  <w:style w:type="character" w:customStyle="1" w:styleId="88">
    <w:name w:val="标题 2 字符"/>
    <w:link w:val="7"/>
    <w:qFormat/>
    <w:uiPriority w:val="0"/>
    <w:rPr>
      <w:sz w:val="24"/>
    </w:rPr>
  </w:style>
  <w:style w:type="character" w:customStyle="1" w:styleId="89">
    <w:name w:val="selected"/>
    <w:qFormat/>
    <w:uiPriority w:val="0"/>
    <w:rPr>
      <w:shd w:val="clear" w:color="auto" w:fill="B00006"/>
    </w:rPr>
  </w:style>
  <w:style w:type="character" w:customStyle="1" w:styleId="90">
    <w:name w:val="纯文本 Char"/>
    <w:qFormat/>
    <w:uiPriority w:val="0"/>
    <w:rPr>
      <w:rFonts w:ascii="宋体" w:hAnsi="Courier New"/>
      <w:kern w:val="2"/>
      <w:sz w:val="21"/>
    </w:rPr>
  </w:style>
  <w:style w:type="character" w:customStyle="1" w:styleId="91">
    <w:name w:val="正文首行缩进 2 Char1"/>
    <w:basedOn w:val="63"/>
    <w:qFormat/>
    <w:uiPriority w:val="0"/>
    <w:rPr>
      <w:kern w:val="2"/>
      <w:sz w:val="21"/>
      <w:szCs w:val="24"/>
    </w:rPr>
  </w:style>
  <w:style w:type="character" w:customStyle="1" w:styleId="92">
    <w:name w:val="批注文字 Char"/>
    <w:qFormat/>
    <w:uiPriority w:val="0"/>
    <w:rPr>
      <w:kern w:val="2"/>
      <w:sz w:val="21"/>
      <w:szCs w:val="24"/>
    </w:rPr>
  </w:style>
  <w:style w:type="character" w:customStyle="1" w:styleId="93">
    <w:name w:val="正文文本 字符"/>
    <w:basedOn w:val="36"/>
    <w:link w:val="19"/>
    <w:qFormat/>
    <w:uiPriority w:val="0"/>
    <w:rPr>
      <w:kern w:val="2"/>
      <w:sz w:val="21"/>
      <w:szCs w:val="24"/>
    </w:rPr>
  </w:style>
  <w:style w:type="paragraph" w:customStyle="1" w:styleId="94">
    <w:name w:val="（无样式）"/>
    <w:basedOn w:val="1"/>
    <w:qFormat/>
    <w:uiPriority w:val="0"/>
    <w:pPr>
      <w:widowControl/>
      <w:numPr>
        <w:ilvl w:val="0"/>
        <w:numId w:val="5"/>
      </w:numPr>
      <w:spacing w:line="360" w:lineRule="auto"/>
      <w:ind w:firstLine="0"/>
    </w:pPr>
    <w:rPr>
      <w:sz w:val="24"/>
      <w:szCs w:val="20"/>
    </w:rPr>
  </w:style>
  <w:style w:type="character" w:customStyle="1" w:styleId="95">
    <w:name w:val="批注文字 字符1"/>
    <w:basedOn w:val="36"/>
    <w:link w:val="18"/>
    <w:qFormat/>
    <w:uiPriority w:val="99"/>
    <w:rPr>
      <w:kern w:val="2"/>
      <w:sz w:val="21"/>
      <w:szCs w:val="24"/>
    </w:rPr>
  </w:style>
  <w:style w:type="character" w:customStyle="1" w:styleId="96">
    <w:name w:val="批注主题 字符"/>
    <w:basedOn w:val="95"/>
    <w:link w:val="33"/>
    <w:qFormat/>
    <w:uiPriority w:val="99"/>
    <w:rPr>
      <w:b/>
      <w:bCs/>
      <w:kern w:val="2"/>
      <w:sz w:val="21"/>
      <w:szCs w:val="24"/>
    </w:rPr>
  </w:style>
  <w:style w:type="character" w:customStyle="1" w:styleId="97">
    <w:name w:val="正文文本缩进 2 字符"/>
    <w:basedOn w:val="36"/>
    <w:link w:val="23"/>
    <w:qFormat/>
    <w:uiPriority w:val="99"/>
    <w:rPr>
      <w:kern w:val="2"/>
      <w:sz w:val="21"/>
      <w:szCs w:val="24"/>
    </w:rPr>
  </w:style>
  <w:style w:type="character" w:customStyle="1" w:styleId="98">
    <w:name w:val="副标题 字符"/>
    <w:basedOn w:val="36"/>
    <w:link w:val="29"/>
    <w:qFormat/>
    <w:uiPriority w:val="0"/>
    <w:rPr>
      <w:rFonts w:ascii="Calibri Light" w:hAnsi="Calibri Light"/>
      <w:bCs/>
      <w:kern w:val="28"/>
      <w:sz w:val="21"/>
      <w:szCs w:val="32"/>
    </w:rPr>
  </w:style>
  <w:style w:type="paragraph" w:customStyle="1" w:styleId="99">
    <w:name w:val="Char"/>
    <w:basedOn w:val="1"/>
    <w:next w:val="1"/>
    <w:qFormat/>
    <w:uiPriority w:val="0"/>
    <w:pPr>
      <w:widowControl/>
      <w:spacing w:line="360" w:lineRule="auto"/>
      <w:jc w:val="left"/>
    </w:pPr>
    <w:rPr>
      <w:kern w:val="0"/>
      <w:szCs w:val="20"/>
      <w:lang w:eastAsia="en-US"/>
    </w:rPr>
  </w:style>
  <w:style w:type="character" w:customStyle="1" w:styleId="100">
    <w:name w:val="纯文本 字符"/>
    <w:basedOn w:val="36"/>
    <w:link w:val="21"/>
    <w:qFormat/>
    <w:uiPriority w:val="99"/>
    <w:rPr>
      <w:rFonts w:ascii="宋体" w:hAnsi="Courier New" w:cs="Courier New"/>
      <w:kern w:val="2"/>
      <w:sz w:val="21"/>
      <w:szCs w:val="21"/>
    </w:rPr>
  </w:style>
  <w:style w:type="character" w:customStyle="1" w:styleId="101">
    <w:name w:val="正文文本缩进 字符"/>
    <w:basedOn w:val="36"/>
    <w:link w:val="3"/>
    <w:qFormat/>
    <w:uiPriority w:val="99"/>
    <w:rPr>
      <w:kern w:val="2"/>
      <w:sz w:val="21"/>
      <w:szCs w:val="24"/>
    </w:rPr>
  </w:style>
  <w:style w:type="character" w:customStyle="1" w:styleId="102">
    <w:name w:val="标题 字符"/>
    <w:basedOn w:val="36"/>
    <w:link w:val="32"/>
    <w:qFormat/>
    <w:uiPriority w:val="0"/>
    <w:rPr>
      <w:rFonts w:ascii="Cambria" w:hAnsi="Cambria"/>
      <w:b/>
      <w:bCs/>
      <w:kern w:val="2"/>
      <w:sz w:val="28"/>
      <w:szCs w:val="32"/>
    </w:rPr>
  </w:style>
  <w:style w:type="paragraph" w:customStyle="1" w:styleId="103">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104">
    <w:name w:val="Char Char Char Char"/>
    <w:basedOn w:val="1"/>
    <w:qFormat/>
    <w:uiPriority w:val="0"/>
    <w:rPr>
      <w:rFonts w:ascii="Tahoma" w:hAnsi="Tahoma"/>
      <w:sz w:val="24"/>
      <w:szCs w:val="20"/>
    </w:rPr>
  </w:style>
  <w:style w:type="paragraph" w:customStyle="1" w:styleId="105">
    <w:name w:val="列出段落1"/>
    <w:basedOn w:val="1"/>
    <w:qFormat/>
    <w:uiPriority w:val="0"/>
    <w:pPr>
      <w:spacing w:line="360" w:lineRule="auto"/>
      <w:ind w:firstLine="420"/>
    </w:pPr>
    <w:rPr>
      <w:color w:val="000000"/>
      <w:sz w:val="24"/>
      <w:szCs w:val="21"/>
    </w:rPr>
  </w:style>
  <w:style w:type="character" w:customStyle="1" w:styleId="106">
    <w:name w:val="日期 字符"/>
    <w:basedOn w:val="36"/>
    <w:link w:val="22"/>
    <w:qFormat/>
    <w:uiPriority w:val="99"/>
    <w:rPr>
      <w:kern w:val="2"/>
      <w:sz w:val="21"/>
      <w:szCs w:val="24"/>
    </w:rPr>
  </w:style>
  <w:style w:type="character" w:customStyle="1" w:styleId="107">
    <w:name w:val="批注框文本 字符"/>
    <w:basedOn w:val="36"/>
    <w:link w:val="24"/>
    <w:qFormat/>
    <w:uiPriority w:val="99"/>
    <w:rPr>
      <w:kern w:val="2"/>
      <w:sz w:val="18"/>
      <w:szCs w:val="18"/>
    </w:rPr>
  </w:style>
  <w:style w:type="character" w:customStyle="1" w:styleId="108">
    <w:name w:val="页眉 字符"/>
    <w:basedOn w:val="36"/>
    <w:link w:val="26"/>
    <w:qFormat/>
    <w:uiPriority w:val="0"/>
    <w:rPr>
      <w:kern w:val="2"/>
      <w:sz w:val="18"/>
      <w:szCs w:val="18"/>
    </w:rPr>
  </w:style>
  <w:style w:type="paragraph" w:customStyle="1" w:styleId="109">
    <w:name w:val="Char1"/>
    <w:basedOn w:val="1"/>
    <w:qFormat/>
    <w:uiPriority w:val="0"/>
  </w:style>
  <w:style w:type="paragraph" w:customStyle="1" w:styleId="110">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character" w:customStyle="1" w:styleId="111">
    <w:name w:val="页脚 字符"/>
    <w:basedOn w:val="36"/>
    <w:link w:val="25"/>
    <w:qFormat/>
    <w:uiPriority w:val="99"/>
    <w:rPr>
      <w:kern w:val="2"/>
      <w:sz w:val="18"/>
      <w:szCs w:val="18"/>
    </w:rPr>
  </w:style>
  <w:style w:type="paragraph" w:customStyle="1" w:styleId="112">
    <w:name w:val="列表2"/>
    <w:basedOn w:val="1"/>
    <w:next w:val="1"/>
    <w:qFormat/>
    <w:uiPriority w:val="0"/>
    <w:pPr>
      <w:numPr>
        <w:ilvl w:val="0"/>
        <w:numId w:val="6"/>
      </w:numPr>
      <w:spacing w:line="200" w:lineRule="atLeast"/>
    </w:pPr>
    <w:rPr>
      <w:rFonts w:eastAsia="仿宋"/>
      <w:sz w:val="28"/>
    </w:rPr>
  </w:style>
  <w:style w:type="paragraph" w:customStyle="1" w:styleId="113">
    <w:name w:val="列出段落111"/>
    <w:basedOn w:val="1"/>
    <w:qFormat/>
    <w:uiPriority w:val="34"/>
    <w:pPr>
      <w:ind w:firstLine="420" w:firstLineChars="200"/>
    </w:pPr>
  </w:style>
  <w:style w:type="paragraph" w:customStyle="1" w:styleId="114">
    <w:name w:val="p0"/>
    <w:basedOn w:val="1"/>
    <w:qFormat/>
    <w:uiPriority w:val="0"/>
    <w:pPr>
      <w:widowControl/>
      <w:spacing w:line="365" w:lineRule="atLeast"/>
      <w:ind w:left="1"/>
      <w:textAlignment w:val="bottom"/>
    </w:pPr>
    <w:rPr>
      <w:rFonts w:ascii="Calibri" w:hAnsi="Calibri"/>
      <w:kern w:val="0"/>
      <w:sz w:val="20"/>
      <w:szCs w:val="22"/>
    </w:rPr>
  </w:style>
  <w:style w:type="paragraph" w:customStyle="1" w:styleId="115">
    <w:name w:val="标题3-副本"/>
    <w:basedOn w:val="29"/>
    <w:qFormat/>
    <w:uiPriority w:val="0"/>
    <w:pPr>
      <w:numPr>
        <w:ilvl w:val="0"/>
        <w:numId w:val="0"/>
      </w:numPr>
      <w:ind w:left="840"/>
    </w:pPr>
  </w:style>
  <w:style w:type="paragraph" w:customStyle="1" w:styleId="116">
    <w:name w:val="样式1"/>
    <w:basedOn w:val="1"/>
    <w:qFormat/>
    <w:uiPriority w:val="0"/>
    <w:pPr>
      <w:spacing w:line="360" w:lineRule="auto"/>
      <w:jc w:val="center"/>
    </w:pPr>
    <w:rPr>
      <w:b/>
      <w:sz w:val="30"/>
      <w:szCs w:val="30"/>
    </w:rPr>
  </w:style>
  <w:style w:type="paragraph" w:customStyle="1" w:styleId="117">
    <w:name w:val="Char Char Char Char Char Char Char1 Char"/>
    <w:basedOn w:val="1"/>
    <w:qFormat/>
    <w:uiPriority w:val="0"/>
    <w:rPr>
      <w:rFonts w:ascii="Tahoma" w:hAnsi="Tahoma"/>
      <w:sz w:val="24"/>
      <w:szCs w:val="20"/>
    </w:rPr>
  </w:style>
  <w:style w:type="paragraph" w:customStyle="1" w:styleId="118">
    <w:name w:val="列出段落2"/>
    <w:basedOn w:val="1"/>
    <w:qFormat/>
    <w:uiPriority w:val="0"/>
    <w:pPr>
      <w:ind w:firstLine="420" w:firstLineChars="200"/>
    </w:pPr>
    <w:rPr>
      <w:rFonts w:ascii="Calibri" w:hAnsi="Calibri"/>
      <w:szCs w:val="22"/>
    </w:rPr>
  </w:style>
  <w:style w:type="paragraph" w:customStyle="1" w:styleId="119">
    <w:name w:val="列出段落11"/>
    <w:basedOn w:val="1"/>
    <w:qFormat/>
    <w:uiPriority w:val="0"/>
    <w:pPr>
      <w:spacing w:after="120" w:line="360" w:lineRule="auto"/>
      <w:ind w:firstLine="420" w:firstLineChars="200"/>
    </w:pPr>
    <w:rPr>
      <w:rFonts w:ascii="Calibri" w:hAnsi="Calibri"/>
      <w:szCs w:val="22"/>
    </w:rPr>
  </w:style>
  <w:style w:type="paragraph" w:customStyle="1" w:styleId="120">
    <w:name w:val="_Style 4"/>
    <w:basedOn w:val="1"/>
    <w:qFormat/>
    <w:uiPriority w:val="34"/>
    <w:pPr>
      <w:adjustRightInd w:val="0"/>
      <w:ind w:firstLine="420" w:firstLineChars="200"/>
      <w:jc w:val="left"/>
      <w:textAlignment w:val="baseline"/>
    </w:pPr>
    <w:rPr>
      <w:kern w:val="0"/>
      <w:szCs w:val="20"/>
    </w:rPr>
  </w:style>
  <w:style w:type="paragraph" w:customStyle="1" w:styleId="121">
    <w:name w:val="标题4"/>
    <w:basedOn w:val="1"/>
    <w:qFormat/>
    <w:uiPriority w:val="0"/>
    <w:pPr>
      <w:numPr>
        <w:ilvl w:val="0"/>
        <w:numId w:val="7"/>
      </w:numPr>
      <w:spacing w:line="360" w:lineRule="auto"/>
      <w:ind w:left="720" w:leftChars="300"/>
      <w:jc w:val="left"/>
    </w:pPr>
    <w:rPr>
      <w:rFonts w:ascii="宋体" w:hAnsi="宋体"/>
      <w:sz w:val="18"/>
      <w:szCs w:val="18"/>
    </w:rPr>
  </w:style>
  <w:style w:type="character" w:customStyle="1" w:styleId="122">
    <w:name w:val="正文文本首行缩进 2 字符"/>
    <w:basedOn w:val="101"/>
    <w:link w:val="2"/>
    <w:qFormat/>
    <w:uiPriority w:val="99"/>
    <w:rPr>
      <w:kern w:val="2"/>
      <w:sz w:val="21"/>
      <w:szCs w:val="24"/>
    </w:rPr>
  </w:style>
  <w:style w:type="paragraph" w:customStyle="1" w:styleId="123">
    <w:name w:val="WPSOffice手动目录 1"/>
    <w:qFormat/>
    <w:uiPriority w:val="0"/>
    <w:rPr>
      <w:rFonts w:ascii="Times New Roman" w:hAnsi="Times New Roman" w:eastAsia="宋体" w:cs="Times New Roman"/>
      <w:lang w:val="en-US" w:eastAsia="zh-CN" w:bidi="ar-SA"/>
    </w:rPr>
  </w:style>
  <w:style w:type="paragraph" w:customStyle="1" w:styleId="124">
    <w:name w:val="正文2"/>
    <w:basedOn w:val="1"/>
    <w:next w:val="1"/>
    <w:qFormat/>
    <w:uiPriority w:val="0"/>
    <w:pPr>
      <w:framePr w:hSpace="180" w:wrap="around" w:vAnchor="text" w:hAnchor="margin" w:y="422"/>
      <w:widowControl/>
      <w:spacing w:line="360" w:lineRule="auto"/>
      <w:jc w:val="center"/>
    </w:pPr>
    <w:rPr>
      <w:rFonts w:ascii="仿宋_GB2312" w:hAnsi="宋体" w:cs="宋体"/>
      <w:bCs/>
      <w:kern w:val="0"/>
      <w:szCs w:val="22"/>
      <w:u w:color="000000"/>
      <w:lang w:eastAsia="en-US" w:bidi="en-US"/>
    </w:rPr>
  </w:style>
  <w:style w:type="paragraph" w:customStyle="1" w:styleId="125">
    <w:name w:val="正文不加"/>
    <w:basedOn w:val="1"/>
    <w:qFormat/>
    <w:uiPriority w:val="0"/>
    <w:pPr>
      <w:snapToGrid w:val="0"/>
      <w:spacing w:line="360" w:lineRule="auto"/>
      <w:ind w:firstLine="200" w:firstLineChars="200"/>
    </w:pPr>
    <w:rPr>
      <w:rFonts w:ascii="宋体"/>
      <w:color w:val="000000"/>
      <w:sz w:val="24"/>
      <w:szCs w:val="21"/>
    </w:rPr>
  </w:style>
  <w:style w:type="paragraph" w:customStyle="1" w:styleId="126">
    <w:name w:val="正文首行缩进 21"/>
    <w:basedOn w:val="127"/>
    <w:qFormat/>
    <w:uiPriority w:val="0"/>
    <w:pPr>
      <w:ind w:firstLine="420" w:firstLineChars="200"/>
    </w:pPr>
  </w:style>
  <w:style w:type="paragraph" w:customStyle="1" w:styleId="127">
    <w:name w:val="正文文本缩进1"/>
    <w:basedOn w:val="1"/>
    <w:qFormat/>
    <w:uiPriority w:val="0"/>
    <w:pPr>
      <w:spacing w:after="120"/>
      <w:ind w:left="420" w:leftChars="200"/>
    </w:pPr>
  </w:style>
  <w:style w:type="character" w:customStyle="1" w:styleId="128">
    <w:name w:val="NormalCharacter"/>
    <w:link w:val="129"/>
    <w:qFormat/>
    <w:uiPriority w:val="0"/>
    <w:rPr>
      <w:rFonts w:ascii="Tahoma" w:hAnsi="Tahoma"/>
      <w:kern w:val="0"/>
      <w:sz w:val="24"/>
      <w:szCs w:val="20"/>
    </w:rPr>
  </w:style>
  <w:style w:type="paragraph" w:customStyle="1" w:styleId="129">
    <w:name w:val="UserStyle_2"/>
    <w:basedOn w:val="1"/>
    <w:link w:val="128"/>
    <w:qFormat/>
    <w:uiPriority w:val="0"/>
    <w:rPr>
      <w:rFonts w:ascii="Tahoma" w:hAnsi="Tahoma"/>
      <w:kern w:val="0"/>
      <w:sz w:val="24"/>
      <w:szCs w:val="20"/>
    </w:rPr>
  </w:style>
  <w:style w:type="paragraph" w:customStyle="1" w:styleId="130">
    <w:name w:val="_Style 116"/>
    <w:basedOn w:val="1"/>
    <w:next w:val="1"/>
    <w:qFormat/>
    <w:uiPriority w:val="0"/>
    <w:pPr>
      <w:pBdr>
        <w:bottom w:val="single" w:color="auto" w:sz="6" w:space="1"/>
      </w:pBdr>
      <w:jc w:val="center"/>
    </w:pPr>
    <w:rPr>
      <w:rFonts w:ascii="Arial"/>
      <w:vanish/>
      <w:sz w:val="16"/>
    </w:rPr>
  </w:style>
  <w:style w:type="paragraph" w:customStyle="1" w:styleId="131">
    <w:name w:val="_Style 117"/>
    <w:basedOn w:val="1"/>
    <w:next w:val="1"/>
    <w:qFormat/>
    <w:uiPriority w:val="0"/>
    <w:pPr>
      <w:pBdr>
        <w:top w:val="single" w:color="auto" w:sz="6" w:space="1"/>
      </w:pBdr>
      <w:jc w:val="center"/>
    </w:pPr>
    <w:rPr>
      <w:rFonts w:ascii="Arial"/>
      <w:vanish/>
      <w:sz w:val="16"/>
    </w:rPr>
  </w:style>
  <w:style w:type="character" w:customStyle="1" w:styleId="132">
    <w:name w:val="first-child"/>
    <w:basedOn w:val="36"/>
    <w:qFormat/>
    <w:uiPriority w:val="0"/>
  </w:style>
  <w:style w:type="character" w:customStyle="1" w:styleId="133">
    <w:name w:val="layui-this"/>
    <w:basedOn w:val="36"/>
    <w:qFormat/>
    <w:uiPriority w:val="0"/>
    <w:rPr>
      <w:bdr w:val="single" w:color="EEEEEE" w:sz="6" w:space="0"/>
      <w:shd w:val="clear" w:color="auto" w:fill="FFFFFF"/>
    </w:rPr>
  </w:style>
  <w:style w:type="character" w:customStyle="1" w:styleId="134">
    <w:name w:val="font11"/>
    <w:basedOn w:val="36"/>
    <w:qFormat/>
    <w:uiPriority w:val="0"/>
    <w:rPr>
      <w:rFonts w:hint="eastAsia" w:ascii="宋体" w:hAnsi="宋体" w:eastAsia="宋体" w:cs="宋体"/>
      <w:color w:val="000000"/>
      <w:sz w:val="16"/>
      <w:szCs w:val="16"/>
      <w:u w:val="none"/>
    </w:rPr>
  </w:style>
  <w:style w:type="character" w:customStyle="1" w:styleId="135">
    <w:name w:val="font51"/>
    <w:basedOn w:val="36"/>
    <w:qFormat/>
    <w:uiPriority w:val="0"/>
    <w:rPr>
      <w:rFonts w:hint="default" w:ascii="Arial Regular" w:hAnsi="Arial Regular" w:eastAsia="Arial Regular" w:cs="Arial Regular"/>
      <w:color w:val="000000"/>
      <w:sz w:val="16"/>
      <w:szCs w:val="16"/>
      <w:u w:val="none"/>
    </w:rPr>
  </w:style>
  <w:style w:type="paragraph" w:customStyle="1" w:styleId="136">
    <w:name w:val="Table Paragraph"/>
    <w:basedOn w:val="1"/>
    <w:next w:val="28"/>
    <w:qFormat/>
    <w:uiPriority w:val="1"/>
    <w:rPr>
      <w:rFonts w:ascii="宋体" w:hAnsi="宋体" w:cs="宋体"/>
      <w:lang w:val="zh-CN" w:bidi="zh-CN"/>
    </w:rPr>
  </w:style>
  <w:style w:type="character" w:customStyle="1" w:styleId="137">
    <w:name w:val="first-child1"/>
    <w:basedOn w:val="36"/>
    <w:qFormat/>
    <w:uiPriority w:val="0"/>
  </w:style>
  <w:style w:type="paragraph" w:customStyle="1" w:styleId="138">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27154</Words>
  <Characters>28594</Characters>
  <Lines>74</Lines>
  <Paragraphs>101</Paragraphs>
  <TotalTime>11</TotalTime>
  <ScaleCrop>false</ScaleCrop>
  <LinksUpToDate>false</LinksUpToDate>
  <CharactersWithSpaces>31282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2021-09-15T05:29:00Z</dcterms:created>
  <dc:creator>NTKO</dc:creator>
  <cp:lastModifiedBy>安徽凯泰工程项目管理有限公司</cp:lastModifiedBy>
  <cp:lastPrinted>2023-06-27T15:51:00Z</cp:lastPrinted>
  <dcterms:modified xsi:type="dcterms:W3CDTF">2023-06-30T07:59:07Z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9E28E4A96DCC41F7B7967A59DA5E1B23_13</vt:lpwstr>
  </property>
</Properties>
</file>